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color w:val="000000"/>
          <w:sz w:val="30"/>
          <w:szCs w:val="30"/>
          <w:highlight w:val="none"/>
        </w:rPr>
      </w:pPr>
      <w:r>
        <w:rPr>
          <w:rFonts w:hint="eastAsia"/>
          <w:b/>
          <w:bCs/>
          <w:color w:val="000000"/>
          <w:spacing w:val="-8"/>
          <w:sz w:val="48"/>
          <w:szCs w:val="44"/>
          <w:highlight w:val="none"/>
        </w:rPr>
        <w:t>中国重汽集团济南动力有限公司</w:t>
      </w:r>
    </w:p>
    <w:p>
      <w:pPr>
        <w:jc w:val="center"/>
        <w:rPr>
          <w:rFonts w:hint="eastAsia" w:ascii="宋体" w:hAnsi="宋体" w:eastAsia="宋体" w:cs="宋体"/>
          <w:b/>
          <w:bCs/>
          <w:color w:val="000000"/>
          <w:spacing w:val="-8"/>
          <w:sz w:val="48"/>
          <w:szCs w:val="44"/>
          <w:highlight w:val="none"/>
        </w:rPr>
      </w:pPr>
      <w:r>
        <w:rPr>
          <w:rFonts w:hint="eastAsia" w:ascii="宋体" w:hAnsi="宋体" w:eastAsia="宋体" w:cs="宋体"/>
          <w:b/>
          <w:bCs/>
          <w:color w:val="000000"/>
          <w:spacing w:val="-8"/>
          <w:sz w:val="48"/>
          <w:szCs w:val="44"/>
          <w:highlight w:val="none"/>
          <w:lang w:val="en-US" w:eastAsia="zh-CN"/>
        </w:rPr>
        <w:t>重庆大足试验车燃油采购</w:t>
      </w:r>
      <w:r>
        <w:rPr>
          <w:rFonts w:hint="eastAsia" w:ascii="宋体" w:hAnsi="宋体" w:eastAsia="宋体" w:cs="宋体"/>
          <w:b/>
          <w:bCs/>
          <w:color w:val="000000"/>
          <w:spacing w:val="-8"/>
          <w:sz w:val="48"/>
          <w:szCs w:val="44"/>
          <w:highlight w:val="none"/>
        </w:rPr>
        <w:t>招标项目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highlight w:val="non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highlight w:val="none"/>
        </w:rPr>
        <w:t>：</w:t>
      </w:r>
      <w:bookmarkStart w:id="0" w:name="OLE_LINK1"/>
      <w:r>
        <w:rPr>
          <w:rFonts w:hint="eastAsia" w:ascii="宋体" w:hAnsi="宋体" w:eastAsia="宋体" w:cs="宋体"/>
          <w:color w:val="000000"/>
          <w:sz w:val="24"/>
          <w:szCs w:val="24"/>
          <w:highlight w:val="none"/>
          <w:lang w:val="en-US" w:eastAsia="zh-CN"/>
        </w:rPr>
        <w:t>重庆大足试验车燃油采购项目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采购形式编号：CGZX2023080388</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highlight w:val="none"/>
          <w:lang w:val="en-US" w:eastAsia="zh-CN"/>
        </w:rPr>
        <w:t>重庆大足试验车燃油采购项目</w:t>
      </w:r>
    </w:p>
    <w:p>
      <w:pPr>
        <w:pStyle w:val="15"/>
        <w:spacing w:line="360" w:lineRule="auto"/>
        <w:ind w:firstLine="480" w:firstLineChars="200"/>
        <w:rPr>
          <w:rFonts w:hint="eastAsia" w:ascii="宋体" w:hAnsi="宋体" w:eastAsia="宋体" w:cs="宋体"/>
          <w:b/>
          <w:color w:val="000000"/>
          <w:sz w:val="24"/>
          <w:szCs w:val="24"/>
          <w:lang w:val="en-US" w:eastAsia="zh-CN"/>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highlight w:val="none"/>
          <w:lang w:val="en-US" w:eastAsia="zh-CN"/>
        </w:rPr>
        <w:t>重庆大足试验车燃油采购项目。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重庆市大足区邮亭镇宋家坡中国汽车工程研究院大足试验基地附近</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default" w:ascii="宋体" w:hAnsi="宋体" w:eastAsia="宋体" w:cs="宋体"/>
          <w:color w:val="000000"/>
          <w:sz w:val="24"/>
          <w:szCs w:val="24"/>
          <w:lang w:val="en-US"/>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color w:val="000000"/>
          <w:sz w:val="24"/>
          <w:szCs w:val="24"/>
          <w:lang w:val="en-US" w:eastAsia="zh-CN"/>
        </w:rPr>
        <w:t>电汇(外付网银）</w:t>
      </w:r>
    </w:p>
    <w:p>
      <w:pPr>
        <w:pStyle w:val="78"/>
        <w:rPr>
          <w:rFonts w:hint="eastAsia" w:ascii="宋体" w:hAnsi="宋体" w:eastAsia="宋体" w:cs="宋体"/>
        </w:rPr>
      </w:pPr>
      <w:r>
        <w:rPr>
          <w:rFonts w:hint="eastAsia" w:ascii="宋体" w:hAnsi="宋体" w:eastAsia="宋体" w:cs="宋体"/>
        </w:rPr>
        <w:t>中标人与中国重汽集团济南动力有限公司</w:t>
      </w:r>
      <w:r>
        <w:rPr>
          <w:rFonts w:hint="eastAsia" w:ascii="宋体" w:hAnsi="宋体" w:eastAsia="宋体" w:cs="宋体"/>
          <w:highlight w:val="none"/>
        </w:rPr>
        <w:t>签订合同，按表1（具体付款方式）进行支付。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重庆大足试验车燃油采购项目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办理加油卡。由中国重汽集团济南动力有限公司指定管理使用人员按照财务制度进行预算上报请款，并通过公对公转账将申请款项打到中标公司账户，圈存到办理的加油卡上进行使用。加油卡余额使用完后，中标公司提供相应的加油明细，经中国重汽集团济南动力有限公司指定管理使用人员确认无误后,中标公司开具金额为实际消费金额 100%的增值税专用发票</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拟投标人在“中国重汽e采通”平台</w:t>
      </w:r>
      <w:r>
        <w:rPr>
          <w:rFonts w:hint="eastAsia" w:eastAsia="宋体" w:cs="宋体"/>
          <w:lang w:val="en-US" w:eastAsia="zh-CN"/>
        </w:rPr>
        <w:t>应标</w:t>
      </w:r>
      <w:r>
        <w:rPr>
          <w:rFonts w:hint="eastAsia" w:ascii="宋体" w:hAnsi="宋体" w:eastAsia="宋体" w:cs="宋体"/>
        </w:rPr>
        <w:t>。</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w:t>
      </w:r>
      <w:r>
        <w:rPr>
          <w:rFonts w:hint="eastAsia" w:eastAsia="宋体" w:cs="宋体"/>
          <w:lang w:val="en-US" w:eastAsia="zh-CN"/>
        </w:rPr>
        <w:t>投标</w:t>
      </w:r>
      <w:r>
        <w:rPr>
          <w:rFonts w:hint="eastAsia" w:ascii="宋体" w:hAnsi="宋体" w:eastAsia="宋体" w:cs="宋体"/>
        </w:rPr>
        <w:t>成功。</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eastAsia="宋体" w:cs="宋体"/>
          <w:lang w:val="en-US" w:eastAsia="zh-CN"/>
        </w:rPr>
        <w:t>投标</w:t>
      </w:r>
      <w:r>
        <w:rPr>
          <w:rFonts w:hint="eastAsia" w:ascii="宋体" w:hAnsi="宋体" w:eastAsia="宋体" w:cs="宋体"/>
          <w:lang w:val="en-US" w:eastAsia="zh-CN"/>
        </w:rPr>
        <w:t>成功后，请将营业执照，授权书（含法人及授权人身份信息）发送邮件至我单位备案，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投标邮件附件：营业执照，授权书（含法人及授权人身份信息）（附件发送，不要发压缩包，不要使用126或者123邮箱报名，我公司无法打开下载）</w:t>
      </w:r>
    </w:p>
    <w:p>
      <w:pPr>
        <w:pStyle w:val="78"/>
        <w:ind w:firstLine="480"/>
        <w:rPr>
          <w:rFonts w:hint="eastAsia" w:ascii="宋体" w:hAnsi="宋体" w:eastAsia="宋体" w:cs="宋体"/>
          <w:highlight w:val="green"/>
        </w:rPr>
      </w:pPr>
      <w:r>
        <w:rPr>
          <w:rFonts w:hint="eastAsia" w:eastAsia="宋体" w:cs="宋体"/>
          <w:highlight w:val="green"/>
          <w:lang w:val="en-US" w:eastAsia="zh-CN"/>
        </w:rPr>
        <w:t>投标</w:t>
      </w:r>
      <w:r>
        <w:rPr>
          <w:rFonts w:hint="eastAsia" w:ascii="宋体" w:hAnsi="宋体" w:eastAsia="宋体" w:cs="宋体"/>
          <w:highlight w:val="green"/>
        </w:rPr>
        <w:t>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color w:val="000000"/>
          <w:sz w:val="24"/>
          <w:szCs w:val="24"/>
          <w:highlight w:val="yellow"/>
          <w:u w:val="single"/>
        </w:rPr>
        <w:t>100万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w:t>
      </w:r>
      <w:r>
        <w:rPr>
          <w:rFonts w:hint="eastAsia" w:eastAsia="宋体" w:cs="宋体"/>
          <w:lang w:val="en-US" w:eastAsia="zh-CN"/>
        </w:rPr>
        <w:t>根据要求</w:t>
      </w:r>
      <w:r>
        <w:rPr>
          <w:rFonts w:hint="eastAsia" w:ascii="宋体" w:hAnsi="宋体" w:eastAsia="宋体" w:cs="宋体"/>
        </w:rPr>
        <w:t>，进行合理报价。</w:t>
      </w:r>
      <w:r>
        <w:rPr>
          <w:rFonts w:hint="eastAsia" w:ascii="宋体" w:hAnsi="宋体" w:eastAsia="宋体" w:cs="宋体"/>
          <w:highlight w:val="yellow"/>
          <w:lang w:val="en-US" w:eastAsia="zh-CN"/>
        </w:rPr>
        <w:t>柴油</w:t>
      </w:r>
      <w:r>
        <w:rPr>
          <w:rFonts w:hint="eastAsia" w:ascii="宋体" w:hAnsi="宋体" w:eastAsia="宋体" w:cs="宋体"/>
          <w:highlight w:val="yellow"/>
        </w:rPr>
        <w:t>应按比</w:t>
      </w:r>
      <w:r>
        <w:rPr>
          <w:rFonts w:hint="eastAsia" w:eastAsia="宋体" w:cs="宋体"/>
          <w:highlight w:val="yellow"/>
          <w:lang w:val="en-US" w:eastAsia="zh-CN"/>
        </w:rPr>
        <w:t>政府指导价</w:t>
      </w:r>
      <w:r>
        <w:rPr>
          <w:rFonts w:hint="eastAsia" w:ascii="宋体" w:hAnsi="宋体" w:eastAsia="宋体" w:cs="宋体"/>
          <w:highlight w:val="yellow"/>
        </w:rPr>
        <w:t>优惠××元/</w:t>
      </w:r>
      <w:r>
        <w:rPr>
          <w:rFonts w:hint="eastAsia" w:ascii="宋体" w:hAnsi="宋体" w:eastAsia="宋体" w:cs="宋体"/>
          <w:highlight w:val="yellow"/>
          <w:lang w:val="en-US" w:eastAsia="zh-CN"/>
        </w:rPr>
        <w:t>升</w:t>
      </w:r>
      <w:r>
        <w:rPr>
          <w:rFonts w:hint="eastAsia" w:ascii="宋体" w:hAnsi="宋体" w:eastAsia="宋体" w:cs="宋体"/>
          <w:highlight w:val="yellow"/>
        </w:rPr>
        <w:t>进行报价，并在开标时提供开标日前一天的单价为：××元/</w:t>
      </w:r>
      <w:r>
        <w:rPr>
          <w:rFonts w:hint="eastAsia" w:eastAsia="宋体" w:cs="宋体"/>
          <w:highlight w:val="yellow"/>
          <w:lang w:val="en-US" w:eastAsia="zh-CN"/>
        </w:rPr>
        <w:t>升</w:t>
      </w:r>
      <w:r>
        <w:rPr>
          <w:rFonts w:hint="eastAsia" w:ascii="宋体" w:hAnsi="宋体" w:eastAsia="宋体" w:cs="宋体"/>
          <w:highlight w:val="yellow"/>
        </w:rPr>
        <w:t>，同时提供证明。</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比</w:t>
      </w:r>
      <w:r>
        <w:rPr>
          <w:rFonts w:hint="eastAsia" w:eastAsia="宋体" w:cs="宋体"/>
          <w:b/>
          <w:u w:val="single"/>
          <w:lang w:val="en-US" w:eastAsia="zh-CN"/>
        </w:rPr>
        <w:t>政府指导价</w:t>
      </w:r>
      <w:r>
        <w:rPr>
          <w:rFonts w:hint="eastAsia" w:ascii="宋体" w:hAnsi="宋体" w:eastAsia="宋体" w:cs="宋体"/>
          <w:b/>
          <w:u w:val="single"/>
        </w:rPr>
        <w:t>优惠××元/</w:t>
      </w:r>
      <w:r>
        <w:rPr>
          <w:rFonts w:hint="eastAsia" w:eastAsia="宋体" w:cs="宋体"/>
          <w:b/>
          <w:u w:val="single"/>
          <w:lang w:val="en-US" w:eastAsia="zh-CN"/>
        </w:rPr>
        <w:t>升</w:t>
      </w:r>
      <w:r>
        <w:rPr>
          <w:rFonts w:hint="eastAsia" w:ascii="宋体" w:hAnsi="宋体" w:eastAsia="宋体" w:cs="宋体"/>
          <w:b/>
          <w:u w:val="single"/>
        </w:rPr>
        <w:t>（人民币）元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pPr>
        <w:ind w:firstLine="480" w:firstLineChars="200"/>
        <w:rPr>
          <w:rFonts w:hint="eastAsia" w:ascii="宋体" w:hAnsi="宋体" w:eastAsia="宋体" w:cs="宋体"/>
          <w:b/>
          <w:color w:val="auto"/>
          <w:highlight w:val="yellow"/>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Cs/>
          <w:color w:val="000000"/>
          <w:sz w:val="24"/>
          <w:szCs w:val="24"/>
        </w:rPr>
        <w:t>不按此要求提供投标文件的，投标文件做无效标处理。</w:t>
      </w:r>
    </w:p>
    <w:p>
      <w:pPr>
        <w:pStyle w:val="78"/>
        <w:ind w:firstLine="480"/>
        <w:rPr>
          <w:rFonts w:hint="eastAsia" w:ascii="宋体" w:hAnsi="宋体" w:eastAsia="宋体" w:cs="宋体"/>
          <w:b/>
        </w:rPr>
      </w:pPr>
      <w:r>
        <w:rPr>
          <w:rFonts w:hint="eastAsia" w:ascii="宋体" w:hAnsi="宋体" w:eastAsia="宋体" w:cs="宋体"/>
          <w:b/>
          <w:highlight w:val="yellow"/>
        </w:rPr>
        <w:t>本项目投标文件</w:t>
      </w:r>
      <w:r>
        <w:rPr>
          <w:rFonts w:hint="eastAsia" w:ascii="宋体" w:hAnsi="宋体" w:eastAsia="宋体" w:cs="宋体"/>
          <w:b/>
          <w:color w:val="auto"/>
          <w:highlight w:val="yellow"/>
        </w:rPr>
        <w:t>一式六份，正本一份，副本五份。电子版投标文件1份（保证电子版和纸质版一致性）。</w:t>
      </w:r>
      <w:r>
        <w:rPr>
          <w:rFonts w:hint="eastAsia" w:ascii="宋体" w:hAnsi="宋体" w:eastAsia="宋体" w:cs="宋体"/>
          <w:b/>
        </w:rPr>
        <w:t>若为现场开标，营业执照和授权书需在开标现场出示；若为视频开标，则需在视频端呈现即可。</w:t>
      </w:r>
      <w:r>
        <w:rPr>
          <w:rFonts w:hint="eastAsia" w:ascii="宋体" w:hAnsi="宋体" w:eastAsia="宋体" w:cs="宋体"/>
        </w:rPr>
        <w:t>若没有携带营业执照原件，将根据现场所有参与开标的投标单位和专家共同判定得出认可情况</w:t>
      </w:r>
      <w:r>
        <w:rPr>
          <w:rFonts w:hint="eastAsia" w:ascii="宋体" w:hAnsi="宋体" w:eastAsia="宋体" w:cs="宋体"/>
          <w:b/>
        </w:rPr>
        <w:t>。</w:t>
      </w:r>
      <w:r>
        <w:rPr>
          <w:rFonts w:hint="eastAsia" w:ascii="宋体" w:hAnsi="宋体" w:eastAsia="宋体" w:cs="宋体"/>
        </w:rPr>
        <w:t>详见附件格式</w:t>
      </w:r>
      <w:r>
        <w:rPr>
          <w:rFonts w:hint="eastAsia" w:ascii="宋体" w:hAnsi="宋体" w:eastAsia="宋体" w:cs="宋体"/>
          <w:color w:val="auto"/>
          <w:highlight w:val="none"/>
        </w:rPr>
        <w:t>1—11</w:t>
      </w:r>
      <w:r>
        <w:rPr>
          <w:rFonts w:hint="eastAsia" w:ascii="宋体" w:hAnsi="宋体"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3</w:t>
      </w:r>
      <w:r>
        <w:rPr>
          <w:rFonts w:hint="eastAsia" w:ascii="宋体" w:hAnsi="宋体" w:eastAsia="宋体" w:cs="宋体"/>
          <w:b w:val="0"/>
          <w:color w:val="auto"/>
          <w:highlight w:val="none"/>
        </w:rPr>
        <w:t>年</w:t>
      </w:r>
      <w:r>
        <w:rPr>
          <w:rFonts w:hint="default" w:ascii="宋体" w:hAnsi="宋体" w:eastAsia="宋体" w:cs="宋体"/>
          <w:b w:val="0"/>
          <w:color w:val="auto"/>
          <w:highlight w:val="none"/>
        </w:rPr>
        <w:t>11</w:t>
      </w:r>
      <w:r>
        <w:rPr>
          <w:rFonts w:hint="eastAsia" w:ascii="宋体" w:hAnsi="宋体" w:eastAsia="宋体" w:cs="宋体"/>
          <w:b w:val="0"/>
          <w:color w:val="auto"/>
          <w:highlight w:val="none"/>
        </w:rPr>
        <w:t>月</w:t>
      </w:r>
      <w:r>
        <w:rPr>
          <w:rFonts w:hint="default" w:ascii="宋体" w:hAnsi="宋体" w:eastAsia="宋体" w:cs="宋体"/>
          <w:b w:val="0"/>
          <w:color w:val="auto"/>
          <w:highlight w:val="none"/>
        </w:rPr>
        <w:t>6</w:t>
      </w:r>
      <w:r>
        <w:rPr>
          <w:rFonts w:hint="eastAsia" w:ascii="宋体" w:hAnsi="宋体" w:eastAsia="宋体" w:cs="宋体"/>
          <w:b w:val="0"/>
          <w:color w:val="auto"/>
          <w:highlight w:val="none"/>
        </w:rPr>
        <w:t>日（周</w:t>
      </w:r>
      <w:r>
        <w:rPr>
          <w:rFonts w:hint="default" w:ascii="宋体" w:hAnsi="宋体" w:eastAsia="宋体" w:cs="宋体"/>
          <w:b w:val="0"/>
          <w:color w:val="auto"/>
          <w:highlight w:val="none"/>
        </w:rPr>
        <w:t>一</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w:t>
      </w:r>
      <w:r>
        <w:rPr>
          <w:rFonts w:hint="eastAsia" w:ascii="宋体" w:hAnsi="宋体" w:eastAsia="宋体" w:cs="宋体"/>
          <w:lang w:val="en-US" w:eastAsia="zh-CN"/>
        </w:rPr>
        <w:t>在</w:t>
      </w:r>
      <w:r>
        <w:rPr>
          <w:rFonts w:hint="eastAsia" w:ascii="宋体" w:hAnsi="宋体" w:eastAsia="宋体" w:cs="宋体"/>
        </w:rPr>
        <w:t>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ascii="宋体" w:hAnsi="宋体" w:eastAsia="宋体" w:cs="宋体"/>
          <w:bCs/>
          <w:lang w:val="en-US" w:eastAsia="zh-CN"/>
        </w:rPr>
        <w:t>3</w:t>
      </w:r>
      <w:r>
        <w:rPr>
          <w:rFonts w:hint="eastAsia" w:ascii="宋体" w:hAnsi="宋体" w:eastAsia="宋体" w:cs="宋体"/>
          <w:bCs/>
        </w:rPr>
        <w:t>年</w:t>
      </w:r>
      <w:r>
        <w:rPr>
          <w:rFonts w:hint="default" w:eastAsia="宋体" w:cs="宋体"/>
          <w:bCs/>
        </w:rPr>
        <w:t>11</w:t>
      </w:r>
      <w:r>
        <w:rPr>
          <w:rFonts w:hint="eastAsia" w:ascii="宋体" w:hAnsi="宋体" w:eastAsia="宋体" w:cs="宋体"/>
          <w:bCs/>
        </w:rPr>
        <w:t>月</w:t>
      </w:r>
      <w:r>
        <w:rPr>
          <w:rFonts w:hint="default" w:eastAsia="宋体" w:cs="宋体"/>
          <w:bCs/>
        </w:rPr>
        <w:t>11</w:t>
      </w:r>
      <w:r>
        <w:rPr>
          <w:rFonts w:hint="eastAsia" w:ascii="宋体" w:hAnsi="宋体" w:eastAsia="宋体" w:cs="宋体"/>
          <w:bCs/>
        </w:rPr>
        <w:t>日</w:t>
      </w:r>
      <w:r>
        <w:rPr>
          <w:rFonts w:hint="eastAsia" w:ascii="宋体" w:hAnsi="宋体" w:eastAsia="宋体" w:cs="宋体"/>
        </w:rPr>
        <w:t>（周</w:t>
      </w:r>
      <w:r>
        <w:rPr>
          <w:rFonts w:hint="default" w:eastAsia="宋体" w:cs="宋体"/>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ascii="宋体" w:hAnsi="宋体" w:eastAsia="宋体" w:cs="宋体"/>
          <w:bCs/>
          <w:lang w:val="en-US" w:eastAsia="zh-CN"/>
        </w:rPr>
        <w:t>3</w:t>
      </w:r>
      <w:r>
        <w:rPr>
          <w:rFonts w:hint="eastAsia" w:ascii="宋体" w:hAnsi="宋体" w:eastAsia="宋体" w:cs="宋体"/>
          <w:bCs/>
        </w:rPr>
        <w:t>年</w:t>
      </w:r>
      <w:r>
        <w:rPr>
          <w:rFonts w:hint="default" w:eastAsia="宋体" w:cs="宋体"/>
          <w:bCs/>
        </w:rPr>
        <w:t>11</w:t>
      </w:r>
      <w:r>
        <w:rPr>
          <w:rFonts w:hint="eastAsia" w:ascii="宋体" w:hAnsi="宋体" w:eastAsia="宋体" w:cs="宋体"/>
          <w:bCs/>
        </w:rPr>
        <w:t>月</w:t>
      </w:r>
      <w:r>
        <w:rPr>
          <w:rFonts w:hint="default" w:eastAsia="宋体" w:cs="宋体"/>
          <w:bCs/>
        </w:rPr>
        <w:t>11</w:t>
      </w:r>
      <w:r>
        <w:rPr>
          <w:rFonts w:hint="eastAsia" w:ascii="宋体" w:hAnsi="宋体" w:eastAsia="宋体" w:cs="宋体"/>
          <w:bCs/>
        </w:rPr>
        <w:t>日</w:t>
      </w:r>
      <w:r>
        <w:rPr>
          <w:rFonts w:hint="eastAsia" w:ascii="宋体" w:hAnsi="宋体" w:eastAsia="宋体" w:cs="宋体"/>
        </w:rPr>
        <w:t>（周</w:t>
      </w:r>
      <w:r>
        <w:rPr>
          <w:rFonts w:hint="default" w:eastAsia="宋体" w:cs="宋体"/>
        </w:rPr>
        <w:t>六</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刘庆运</w:t>
      </w:r>
    </w:p>
    <w:p>
      <w:pPr>
        <w:pStyle w:val="78"/>
        <w:ind w:firstLine="480"/>
        <w:rPr>
          <w:rFonts w:hint="eastAsia" w:ascii="宋体" w:hAnsi="宋体" w:eastAsia="宋体" w:cs="宋体"/>
          <w:lang w:val="en-US" w:eastAsia="zh-CN"/>
        </w:rPr>
      </w:pPr>
      <w:r>
        <w:rPr>
          <w:rFonts w:hint="eastAsia" w:ascii="宋体" w:hAnsi="宋体" w:eastAsia="宋体" w:cs="宋体"/>
        </w:rPr>
        <w:t>电    话：17853167891</w:t>
      </w:r>
    </w:p>
    <w:p>
      <w:pPr>
        <w:pStyle w:val="78"/>
        <w:ind w:firstLine="480"/>
        <w:rPr>
          <w:rFonts w:hint="eastAsia" w:ascii="宋体" w:hAnsi="宋体" w:eastAsia="宋体" w:cs="宋体"/>
        </w:rPr>
      </w:pPr>
      <w:r>
        <w:rPr>
          <w:rFonts w:hint="eastAsia" w:ascii="宋体" w:hAnsi="宋体" w:eastAsia="宋体" w:cs="宋体"/>
        </w:rPr>
        <w:t>邮    箱：1009873295@qq.com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3</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rPr>
        <w:t>1</w:t>
      </w:r>
      <w:r>
        <w:rPr>
          <w:rFonts w:hint="default" w:hAnsi="宋体" w:cs="宋体"/>
          <w:color w:val="000000"/>
          <w:sz w:val="24"/>
          <w:szCs w:val="24"/>
          <w:highlight w:val="cyan"/>
        </w:rPr>
        <w:t>1</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rPr>
        <w:t>13</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rPr>
        <w:t>一</w:t>
      </w:r>
      <w:bookmarkStart w:id="25" w:name="_GoBack"/>
      <w:bookmarkEnd w:id="25"/>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满足国务院、政府及招标人公司最新防疫政策要求，可以来现场参与开标。其他情况请选择视频参与开标，视频链接会在报名结束后统一通知。</w:t>
      </w: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如选择到场参与开标，自行携带纸质投标文件于开标前至开标地点即可。</w:t>
      </w: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如选择线上参与开标，纸质投标文件需在开标日前两天，邮寄到指定地址。</w:t>
      </w:r>
    </w:p>
    <w:p>
      <w:pPr>
        <w:pStyle w:val="15"/>
        <w:ind w:firstLine="480" w:firstLineChars="200"/>
        <w:rPr>
          <w:rFonts w:hint="eastAsia" w:ascii="宋体" w:hAnsi="宋体" w:eastAsia="宋体" w:cs="宋体"/>
          <w:color w:val="000000"/>
          <w:sz w:val="24"/>
          <w:szCs w:val="24"/>
          <w:highlight w:val="yellow"/>
        </w:rPr>
      </w:pPr>
      <w:r>
        <w:rPr>
          <w:rFonts w:hint="eastAsia" w:ascii="宋体" w:hAnsi="宋体" w:eastAsia="宋体" w:cs="宋体"/>
          <w:b/>
          <w:sz w:val="24"/>
          <w:szCs w:val="24"/>
        </w:rPr>
        <w:t>邮寄地址：</w:t>
      </w:r>
      <w:r>
        <w:rPr>
          <w:rFonts w:hint="eastAsia" w:ascii="宋体" w:hAnsi="宋体" w:eastAsia="宋体" w:cs="宋体"/>
          <w:color w:val="000000"/>
          <w:sz w:val="24"/>
          <w:szCs w:val="24"/>
          <w:highlight w:val="yellow"/>
        </w:rPr>
        <w:t>山东省济南市历城区华奥路777号</w:t>
      </w:r>
    </w:p>
    <w:p>
      <w:pPr>
        <w:pStyle w:val="78"/>
        <w:rPr>
          <w:rFonts w:hint="eastAsia" w:ascii="宋体" w:hAnsi="宋体" w:eastAsia="宋体" w:cs="宋体"/>
          <w:lang w:val="en-US" w:eastAsia="zh-CN"/>
        </w:rPr>
      </w:pPr>
      <w:r>
        <w:rPr>
          <w:rFonts w:hint="eastAsia" w:ascii="宋体" w:hAnsi="宋体" w:eastAsia="宋体" w:cs="宋体"/>
          <w:color w:val="000000"/>
          <w:sz w:val="24"/>
          <w:szCs w:val="24"/>
          <w:highlight w:val="yellow"/>
        </w:rPr>
        <w:t>联系人及联系方式：</w:t>
      </w:r>
      <w:r>
        <w:rPr>
          <w:rFonts w:hint="eastAsia" w:ascii="宋体" w:hAnsi="宋体" w:eastAsia="宋体" w:cs="宋体"/>
          <w:color w:val="000000"/>
          <w:sz w:val="24"/>
          <w:szCs w:val="24"/>
          <w:highlight w:val="yellow"/>
          <w:lang w:val="en-US" w:eastAsia="zh-CN"/>
        </w:rPr>
        <w:t xml:space="preserve">  </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ind w:left="420" w:leftChars="0" w:hanging="420" w:firstLineChars="0"/>
        <w:rPr>
          <w:rFonts w:hint="eastAsia"/>
        </w:rPr>
      </w:pPr>
      <w:r>
        <w:rPr>
          <w:rFonts w:hint="eastAsia" w:ascii="宋体" w:hAnsi="宋体" w:eastAsia="宋体" w:cs="宋体"/>
          <w:b/>
          <w:sz w:val="24"/>
          <w:szCs w:val="24"/>
        </w:rPr>
        <w:t>资质标评审：资质标审核通过的单位，进入技术标评审；</w:t>
      </w:r>
    </w:p>
    <w:p>
      <w:pPr>
        <w:numPr>
          <w:ilvl w:val="0"/>
          <w:numId w:val="5"/>
        </w:numPr>
        <w:spacing w:line="420" w:lineRule="exact"/>
        <w:ind w:left="420" w:leftChars="0" w:hanging="420" w:firstLineChars="0"/>
        <w:rPr>
          <w:rFonts w:hint="eastAsia" w:ascii="宋体" w:hAnsi="宋体" w:eastAsia="宋体" w:cs="宋体"/>
          <w:b/>
          <w:sz w:val="24"/>
          <w:szCs w:val="24"/>
        </w:rPr>
      </w:pPr>
      <w:r>
        <w:rPr>
          <w:rFonts w:hint="eastAsia" w:ascii="宋体" w:hAnsi="宋体" w:cs="宋体"/>
          <w:b/>
          <w:sz w:val="24"/>
          <w:szCs w:val="24"/>
          <w:lang w:val="en-US" w:eastAsia="zh-CN"/>
        </w:rPr>
        <w:t>唱标：</w:t>
      </w:r>
      <w:r>
        <w:rPr>
          <w:rFonts w:hint="eastAsia" w:ascii="宋体" w:hAnsi="宋体" w:eastAsia="宋体" w:cs="宋体"/>
          <w:b/>
          <w:sz w:val="24"/>
          <w:szCs w:val="24"/>
          <w:lang w:val="en-US" w:eastAsia="zh-CN"/>
        </w:rPr>
        <w:t>资质标评审结束后，进行</w:t>
      </w:r>
      <w:r>
        <w:rPr>
          <w:rFonts w:hint="eastAsia" w:ascii="宋体" w:hAnsi="宋体" w:eastAsia="宋体" w:cs="宋体"/>
          <w:b/>
          <w:sz w:val="24"/>
          <w:szCs w:val="24"/>
        </w:rPr>
        <w:t>公开唱标→商务条款相应确认</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p>
    <w:p>
      <w:pPr>
        <w:pStyle w:val="78"/>
        <w:ind w:firstLine="480"/>
        <w:rPr>
          <w:rFonts w:hint="eastAsia" w:ascii="宋体" w:hAnsi="宋体" w:eastAsia="宋体" w:cs="宋体"/>
          <w:color w:val="000000"/>
          <w:sz w:val="24"/>
          <w:szCs w:val="24"/>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本项目产生</w:t>
      </w:r>
      <w:r>
        <w:rPr>
          <w:rFonts w:hint="eastAsia" w:ascii="宋体" w:hAnsi="宋体" w:cs="宋体"/>
          <w:color w:val="000000"/>
          <w:sz w:val="24"/>
          <w:szCs w:val="24"/>
          <w:lang w:val="en-US" w:eastAsia="zh-CN"/>
        </w:rPr>
        <w:t>1-2个</w:t>
      </w:r>
      <w:r>
        <w:rPr>
          <w:rFonts w:hint="eastAsia" w:ascii="宋体" w:hAnsi="宋体" w:eastAsia="宋体" w:cs="宋体"/>
          <w:color w:val="000000"/>
          <w:sz w:val="24"/>
          <w:szCs w:val="24"/>
        </w:rPr>
        <w:t>中标人，</w:t>
      </w:r>
      <w:r>
        <w:rPr>
          <w:rFonts w:hint="eastAsia" w:hAnsi="宋体" w:cs="宋体"/>
          <w:sz w:val="24"/>
          <w:szCs w:val="24"/>
          <w:highlight w:val="yellow"/>
        </w:rPr>
        <w:t>若最终两家企业中标，</w:t>
      </w:r>
      <w:r>
        <w:rPr>
          <w:rFonts w:hint="eastAsia" w:hAnsi="宋体" w:cs="宋体"/>
          <w:sz w:val="24"/>
          <w:szCs w:val="24"/>
          <w:highlight w:val="yellow"/>
          <w:lang w:val="en-US" w:eastAsia="zh-CN"/>
        </w:rPr>
        <w:t>则</w:t>
      </w:r>
      <w:r>
        <w:rPr>
          <w:rFonts w:hint="eastAsia" w:hAnsi="宋体" w:cs="宋体"/>
          <w:sz w:val="24"/>
          <w:szCs w:val="24"/>
          <w:highlight w:val="yellow"/>
        </w:rPr>
        <w:t>以两家中标者价格低的为依据统一</w:t>
      </w:r>
      <w:r>
        <w:rPr>
          <w:rFonts w:hint="eastAsia" w:hAnsi="宋体" w:cs="宋体"/>
          <w:sz w:val="24"/>
          <w:szCs w:val="24"/>
          <w:highlight w:val="yellow"/>
          <w:lang w:val="en-US" w:eastAsia="zh-CN"/>
        </w:rPr>
        <w:t>与两家企业</w:t>
      </w:r>
      <w:r>
        <w:rPr>
          <w:rFonts w:hint="eastAsia" w:hAnsi="宋体" w:cs="宋体"/>
          <w:sz w:val="24"/>
          <w:szCs w:val="24"/>
          <w:highlight w:val="yellow"/>
        </w:rPr>
        <w:t>签订合同</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纸质投标文件：商务和技术文件正本</w:t>
      </w:r>
      <w:r>
        <w:rPr>
          <w:rFonts w:hint="eastAsia" w:ascii="宋体" w:hAnsi="宋体" w:eastAsia="宋体" w:cs="宋体"/>
          <w:b/>
          <w:highlight w:val="yellow"/>
          <w:u w:val="single"/>
        </w:rPr>
        <w:t xml:space="preserve">    </w:t>
      </w:r>
      <w:r>
        <w:rPr>
          <w:rFonts w:hint="eastAsia" w:ascii="宋体" w:hAnsi="宋体" w:eastAsia="宋体" w:cs="宋体"/>
          <w:b/>
          <w:highlight w:val="yellow"/>
        </w:rPr>
        <w:t>份、副本</w:t>
      </w:r>
      <w:r>
        <w:rPr>
          <w:rFonts w:hint="eastAsia" w:ascii="宋体" w:hAnsi="宋体" w:eastAsia="宋体" w:cs="宋体"/>
          <w:b/>
          <w:highlight w:val="yellow"/>
          <w:u w:val="single"/>
        </w:rPr>
        <w:t xml:space="preserve">    </w:t>
      </w:r>
      <w:r>
        <w:rPr>
          <w:rFonts w:hint="eastAsia" w:ascii="宋体" w:hAnsi="宋体" w:eastAsia="宋体" w:cs="宋体"/>
          <w:b/>
          <w:highlight w:val="yellow"/>
        </w:rPr>
        <w:t>份；资质证明文件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57"/>
        <w:gridCol w:w="2322"/>
        <w:gridCol w:w="1128"/>
        <w:gridCol w:w="1860"/>
        <w:gridCol w:w="1484"/>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2" w:hRule="atLeast"/>
          <w:jc w:val="center"/>
        </w:trPr>
        <w:tc>
          <w:tcPr>
            <w:tcW w:w="443"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序号</w:t>
            </w:r>
          </w:p>
        </w:tc>
        <w:tc>
          <w:tcPr>
            <w:tcW w:w="857"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货物</w:t>
            </w:r>
          </w:p>
          <w:p>
            <w:pPr>
              <w:pStyle w:val="82"/>
              <w:rPr>
                <w:rFonts w:hint="eastAsia" w:ascii="宋体" w:hAnsi="宋体" w:eastAsia="宋体" w:cs="宋体"/>
                <w:b w:val="0"/>
                <w:bCs/>
                <w:sz w:val="18"/>
                <w:szCs w:val="18"/>
              </w:rPr>
            </w:pPr>
            <w:r>
              <w:rPr>
                <w:rFonts w:hint="eastAsia" w:ascii="宋体" w:hAnsi="宋体" w:eastAsia="宋体" w:cs="宋体"/>
                <w:b w:val="0"/>
                <w:bCs/>
                <w:sz w:val="18"/>
                <w:szCs w:val="18"/>
              </w:rPr>
              <w:t>名称</w:t>
            </w:r>
          </w:p>
        </w:tc>
        <w:tc>
          <w:tcPr>
            <w:tcW w:w="2322"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投标</w:t>
            </w:r>
            <w:r>
              <w:rPr>
                <w:rFonts w:hint="eastAsia" w:ascii="宋体" w:hAnsi="宋体" w:eastAsia="宋体" w:cs="宋体"/>
                <w:b w:val="0"/>
                <w:bCs/>
                <w:sz w:val="18"/>
                <w:szCs w:val="18"/>
                <w:lang w:val="en-US" w:eastAsia="zh-CN"/>
              </w:rPr>
              <w:t>单</w:t>
            </w:r>
            <w:r>
              <w:rPr>
                <w:rFonts w:hint="eastAsia" w:ascii="宋体" w:hAnsi="宋体" w:eastAsia="宋体" w:cs="宋体"/>
                <w:b w:val="0"/>
                <w:bCs/>
                <w:sz w:val="18"/>
                <w:szCs w:val="18"/>
              </w:rPr>
              <w:t>价</w:t>
            </w:r>
          </w:p>
        </w:tc>
        <w:tc>
          <w:tcPr>
            <w:tcW w:w="1128"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预估用量</w:t>
            </w:r>
          </w:p>
        </w:tc>
        <w:tc>
          <w:tcPr>
            <w:tcW w:w="1860"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优惠后总价</w:t>
            </w:r>
          </w:p>
        </w:tc>
        <w:tc>
          <w:tcPr>
            <w:tcW w:w="1484"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付款方式及比例如何响应</w:t>
            </w:r>
          </w:p>
        </w:tc>
        <w:tc>
          <w:tcPr>
            <w:tcW w:w="1178"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443"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1</w:t>
            </w:r>
          </w:p>
        </w:tc>
        <w:tc>
          <w:tcPr>
            <w:tcW w:w="857"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柴油0#</w:t>
            </w:r>
          </w:p>
        </w:tc>
        <w:tc>
          <w:tcPr>
            <w:tcW w:w="2322"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比</w:t>
            </w:r>
            <w:r>
              <w:rPr>
                <w:rFonts w:hint="eastAsia" w:ascii="宋体" w:hAnsi="宋体" w:eastAsia="宋体" w:cs="宋体"/>
                <w:b w:val="0"/>
                <w:bCs/>
                <w:sz w:val="18"/>
                <w:szCs w:val="18"/>
                <w:lang w:val="en-US" w:eastAsia="zh-CN"/>
              </w:rPr>
              <w:t>政府指导</w:t>
            </w:r>
            <w:r>
              <w:rPr>
                <w:rFonts w:hint="eastAsia" w:ascii="宋体" w:hAnsi="宋体" w:eastAsia="宋体" w:cs="宋体"/>
                <w:b w:val="0"/>
                <w:bCs/>
                <w:sz w:val="18"/>
                <w:szCs w:val="18"/>
              </w:rPr>
              <w:t>价优惠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（含税），不含税价格优惠：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 xml:space="preserve"> （税率：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128"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41.1万升</w:t>
            </w:r>
          </w:p>
        </w:tc>
        <w:tc>
          <w:tcPr>
            <w:tcW w:w="1860"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rPr>
              <w:t>不含税</w:t>
            </w:r>
            <w:r>
              <w:rPr>
                <w:rFonts w:hint="eastAsia" w:ascii="宋体" w:hAnsi="宋体" w:eastAsia="宋体" w:cs="宋体"/>
                <w:b w:val="0"/>
                <w:bCs/>
                <w:sz w:val="18"/>
                <w:szCs w:val="18"/>
                <w:lang w:val="en-US" w:eastAsia="zh-CN"/>
              </w:rPr>
              <w:t>总价</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eastAsia="zh-CN"/>
              </w:rPr>
              <w:t>，</w:t>
            </w:r>
            <w:r>
              <w:rPr>
                <w:rFonts w:hint="eastAsia" w:ascii="宋体" w:hAnsi="宋体" w:eastAsia="宋体" w:cs="宋体"/>
                <w:b w:val="0"/>
                <w:bCs/>
                <w:sz w:val="18"/>
                <w:szCs w:val="18"/>
                <w:lang w:val="en-US" w:eastAsia="zh-CN"/>
              </w:rPr>
              <w:t>含税总价</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484" w:type="dxa"/>
            <w:noWrap w:val="0"/>
            <w:vAlign w:val="center"/>
          </w:tcPr>
          <w:p>
            <w:pPr>
              <w:pStyle w:val="82"/>
              <w:rPr>
                <w:rFonts w:hint="eastAsia" w:ascii="宋体" w:hAnsi="宋体" w:eastAsia="宋体" w:cs="宋体"/>
                <w:b w:val="0"/>
                <w:bCs/>
                <w:sz w:val="18"/>
                <w:szCs w:val="18"/>
              </w:rPr>
            </w:pPr>
          </w:p>
        </w:tc>
        <w:tc>
          <w:tcPr>
            <w:tcW w:w="1178" w:type="dxa"/>
            <w:noWrap w:val="0"/>
            <w:vAlign w:val="center"/>
          </w:tcPr>
          <w:p>
            <w:pPr>
              <w:pStyle w:val="82"/>
              <w:rPr>
                <w:rFonts w:hint="eastAsia" w:ascii="宋体" w:hAnsi="宋体" w:eastAsia="宋体" w:cs="宋体"/>
                <w:b w:val="0"/>
                <w:bCs/>
                <w:sz w:val="18"/>
                <w:szCs w:val="18"/>
              </w:rPr>
            </w:pPr>
          </w:p>
        </w:tc>
      </w:tr>
    </w:tbl>
    <w:p>
      <w:pPr>
        <w:pStyle w:val="78"/>
        <w:ind w:left="0" w:leftChars="0" w:firstLine="0" w:firstLineChars="0"/>
        <w:rPr>
          <w:rFonts w:hint="eastAsia" w:ascii="宋体" w:hAnsi="宋体" w:eastAsia="宋体" w:cs="宋体"/>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numPr>
          <w:ilvl w:val="0"/>
          <w:numId w:val="7"/>
        </w:numPr>
        <w:spacing w:line="520" w:lineRule="exact"/>
        <w:rPr>
          <w:rFonts w:hint="eastAsia" w:ascii="宋体" w:hAnsi="宋体" w:eastAsia="宋体" w:cs="宋体"/>
          <w:b/>
          <w:bCs/>
          <w:szCs w:val="21"/>
        </w:rPr>
      </w:pPr>
      <w:r>
        <w:rPr>
          <w:rFonts w:hint="eastAsia" w:ascii="宋体" w:hAnsi="宋体" w:eastAsia="宋体" w:cs="宋体"/>
          <w:b/>
          <w:bCs/>
          <w:szCs w:val="21"/>
        </w:rPr>
        <w:t>此表中的报价必须与相应的报价明细表中的报价一致。</w:t>
      </w:r>
    </w:p>
    <w:p>
      <w:pPr>
        <w:spacing w:line="300" w:lineRule="auto"/>
        <w:rPr>
          <w:rFonts w:hint="default" w:ascii="宋体" w:hAnsi="宋体" w:eastAsia="宋体" w:cs="宋体"/>
          <w:b/>
          <w:bCs/>
          <w:szCs w:val="21"/>
          <w:lang w:val="en-US" w:eastAsia="zh-CN"/>
        </w:rPr>
      </w:pPr>
      <w:r>
        <w:rPr>
          <w:rFonts w:hint="eastAsia" w:ascii="宋体" w:hAnsi="宋体" w:eastAsia="宋体" w:cs="宋体"/>
          <w:b/>
          <w:bCs/>
          <w:szCs w:val="21"/>
        </w:rPr>
        <w:t>2、</w:t>
      </w:r>
      <w:r>
        <w:rPr>
          <w:rFonts w:hint="eastAsia" w:ascii="宋体" w:hAnsi="宋体" w:cs="宋体"/>
          <w:b/>
          <w:bCs/>
          <w:szCs w:val="21"/>
          <w:lang w:val="en-US" w:eastAsia="zh-CN"/>
        </w:rPr>
        <w:t>进行总价计算时，政府指导价请按2023年5月30日价格7.17元/升（含税）进行计算。</w:t>
      </w:r>
    </w:p>
    <w:p>
      <w:pPr>
        <w:spacing w:line="300" w:lineRule="auto"/>
        <w:rPr>
          <w:rFonts w:hint="eastAsia" w:ascii="宋体" w:hAnsi="宋体" w:eastAsia="宋体" w:cs="宋体"/>
          <w:b/>
          <w:bCs/>
          <w:szCs w:val="21"/>
        </w:rPr>
      </w:pPr>
      <w:r>
        <w:rPr>
          <w:rFonts w:hint="eastAsia" w:ascii="宋体" w:hAnsi="宋体" w:cs="宋体"/>
          <w:b/>
          <w:bCs/>
          <w:szCs w:val="21"/>
          <w:lang w:val="en-US" w:eastAsia="zh-CN"/>
        </w:rPr>
        <w:t>3</w:t>
      </w:r>
      <w:r>
        <w:rPr>
          <w:rFonts w:hint="eastAsia" w:ascii="宋体" w:hAnsi="宋体" w:eastAsia="宋体" w:cs="宋体"/>
          <w:b/>
          <w:bCs/>
          <w:szCs w:val="21"/>
        </w:rPr>
        <w:t>、附件78</w:t>
      </w:r>
      <w:r>
        <w:rPr>
          <w:rFonts w:hint="eastAsia" w:ascii="宋体" w:hAnsi="宋体" w:eastAsia="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cs="宋体"/>
          <w:b/>
          <w:bCs/>
          <w:szCs w:val="21"/>
          <w:lang w:val="en-US" w:eastAsia="zh-CN"/>
        </w:rPr>
        <w:t>4</w:t>
      </w:r>
      <w:r>
        <w:rPr>
          <w:rFonts w:hint="eastAsia" w:ascii="宋体" w:hAnsi="宋体" w:eastAsia="宋体" w:cs="宋体"/>
          <w:b/>
          <w:bCs/>
          <w:szCs w:val="21"/>
        </w:rPr>
        <w:t>、需写明含税价、不含税价格、税率。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47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919"/>
        <w:gridCol w:w="998"/>
        <w:gridCol w:w="897"/>
        <w:gridCol w:w="1124"/>
        <w:gridCol w:w="2839"/>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81" w:hRule="atLeast"/>
          <w:jc w:val="center"/>
        </w:trPr>
        <w:tc>
          <w:tcPr>
            <w:tcW w:w="532"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 号</w:t>
            </w:r>
          </w:p>
        </w:tc>
        <w:tc>
          <w:tcPr>
            <w:tcW w:w="577" w:type="pct"/>
            <w:noWrap w:val="0"/>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货物</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519"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规格</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w:t>
            </w:r>
          </w:p>
        </w:tc>
        <w:tc>
          <w:tcPr>
            <w:tcW w:w="650" w:type="pct"/>
            <w:noWrap w:val="0"/>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预估用</w:t>
            </w:r>
            <w:r>
              <w:rPr>
                <w:rFonts w:hint="eastAsia" w:ascii="宋体" w:hAnsi="宋体" w:eastAsia="宋体" w:cs="宋体"/>
                <w:kern w:val="0"/>
                <w:sz w:val="18"/>
                <w:szCs w:val="18"/>
              </w:rPr>
              <w:t>量</w:t>
            </w:r>
          </w:p>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eastAsia="zh-CN"/>
              </w:rPr>
              <w:t>（</w:t>
            </w:r>
            <w:r>
              <w:rPr>
                <w:rFonts w:hint="eastAsia" w:ascii="宋体" w:hAnsi="宋体" w:cs="宋体"/>
                <w:kern w:val="0"/>
                <w:sz w:val="18"/>
                <w:szCs w:val="18"/>
                <w:lang w:val="en-US" w:eastAsia="zh-CN"/>
              </w:rPr>
              <w:t>万升）</w:t>
            </w:r>
          </w:p>
        </w:tc>
        <w:tc>
          <w:tcPr>
            <w:tcW w:w="1642" w:type="pct"/>
            <w:noWrap w:val="0"/>
            <w:vAlign w:val="center"/>
          </w:tcPr>
          <w:p>
            <w:pPr>
              <w:pStyle w:val="82"/>
              <w:rPr>
                <w:rFonts w:hint="default" w:ascii="宋体" w:hAnsi="宋体" w:eastAsia="宋体" w:cs="宋体"/>
                <w:kern w:val="0"/>
                <w:sz w:val="18"/>
                <w:szCs w:val="18"/>
                <w:lang w:val="en-US" w:eastAsia="zh-CN"/>
              </w:rPr>
            </w:pPr>
            <w:r>
              <w:rPr>
                <w:rFonts w:hint="eastAsia" w:ascii="宋体" w:hAnsi="宋体" w:eastAsia="宋体" w:cs="宋体"/>
                <w:b w:val="0"/>
                <w:bCs/>
                <w:sz w:val="18"/>
                <w:szCs w:val="18"/>
              </w:rPr>
              <w:t>投标</w:t>
            </w:r>
            <w:r>
              <w:rPr>
                <w:rFonts w:hint="eastAsia" w:ascii="宋体" w:hAnsi="宋体" w:eastAsia="宋体" w:cs="宋体"/>
                <w:b w:val="0"/>
                <w:bCs/>
                <w:sz w:val="18"/>
                <w:szCs w:val="18"/>
                <w:lang w:val="en-US" w:eastAsia="zh-CN"/>
              </w:rPr>
              <w:t>单</w:t>
            </w:r>
            <w:r>
              <w:rPr>
                <w:rFonts w:hint="eastAsia" w:ascii="宋体" w:hAnsi="宋体" w:eastAsia="宋体" w:cs="宋体"/>
                <w:b w:val="0"/>
                <w:bCs/>
                <w:sz w:val="18"/>
                <w:szCs w:val="18"/>
              </w:rPr>
              <w:t>价</w:t>
            </w:r>
          </w:p>
        </w:tc>
        <w:tc>
          <w:tcPr>
            <w:tcW w:w="1078"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577" w:type="pct"/>
            <w:noWrap w:val="0"/>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柴油</w:t>
            </w:r>
          </w:p>
        </w:tc>
        <w:tc>
          <w:tcPr>
            <w:tcW w:w="519" w:type="pct"/>
            <w:noWrap w:val="0"/>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650" w:type="pct"/>
            <w:noWrap w:val="0"/>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41.1</w:t>
            </w:r>
          </w:p>
        </w:tc>
        <w:tc>
          <w:tcPr>
            <w:tcW w:w="1642" w:type="pct"/>
            <w:noWrap w:val="0"/>
            <w:vAlign w:val="center"/>
          </w:tcPr>
          <w:p>
            <w:pPr>
              <w:pStyle w:val="82"/>
              <w:rPr>
                <w:rFonts w:hint="eastAsia" w:ascii="宋体" w:hAnsi="宋体" w:eastAsia="宋体" w:cs="宋体"/>
                <w:kern w:val="0"/>
                <w:sz w:val="18"/>
                <w:szCs w:val="18"/>
                <w:lang w:val="en-US" w:eastAsia="zh-CN"/>
              </w:rPr>
            </w:pPr>
            <w:r>
              <w:rPr>
                <w:rFonts w:hint="eastAsia" w:ascii="宋体" w:hAnsi="宋体" w:eastAsia="宋体" w:cs="宋体"/>
                <w:b w:val="0"/>
                <w:bCs/>
                <w:sz w:val="18"/>
                <w:szCs w:val="18"/>
              </w:rPr>
              <w:t>比</w:t>
            </w:r>
            <w:r>
              <w:rPr>
                <w:rFonts w:hint="eastAsia" w:ascii="宋体" w:hAnsi="宋体" w:eastAsia="宋体" w:cs="宋体"/>
                <w:b w:val="0"/>
                <w:bCs/>
                <w:sz w:val="18"/>
                <w:szCs w:val="18"/>
                <w:lang w:val="en-US" w:eastAsia="zh-CN"/>
              </w:rPr>
              <w:t>政府指导</w:t>
            </w:r>
            <w:r>
              <w:rPr>
                <w:rFonts w:hint="eastAsia" w:ascii="宋体" w:hAnsi="宋体" w:eastAsia="宋体" w:cs="宋体"/>
                <w:b w:val="0"/>
                <w:bCs/>
                <w:sz w:val="18"/>
                <w:szCs w:val="18"/>
              </w:rPr>
              <w:t>价优惠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（含税），不含税价格优惠：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 xml:space="preserve"> （税率：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078" w:type="pct"/>
            <w:noWrap w:val="0"/>
            <w:vAlign w:val="center"/>
          </w:tcPr>
          <w:p>
            <w:pPr>
              <w:widowControl/>
              <w:jc w:val="center"/>
              <w:rPr>
                <w:rFonts w:hint="eastAsia" w:ascii="宋体" w:hAnsi="宋体" w:eastAsia="宋体" w:cs="宋体"/>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38"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bl>
    <w:p>
      <w:pPr>
        <w:pStyle w:val="78"/>
        <w:ind w:firstLine="480"/>
        <w:rPr>
          <w:rFonts w:hint="eastAsia" w:ascii="宋体" w:hAnsi="宋体" w:eastAsia="宋体" w:cs="宋体"/>
        </w:rPr>
      </w:pPr>
    </w:p>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是否偏离</w:t>
            </w:r>
          </w:p>
          <w:p>
            <w:pPr>
              <w:pStyle w:val="82"/>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交货时间及地点</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rPr>
                <w:rFonts w:hint="default" w:eastAsiaTheme="minorEastAsia"/>
                <w:szCs w:val="21"/>
                <w:lang w:val="en-US" w:eastAsia="zh-CN"/>
              </w:rPr>
            </w:pPr>
            <w:r>
              <w:rPr>
                <w:rFonts w:hint="eastAsia"/>
                <w:szCs w:val="21"/>
                <w:lang w:val="en-US" w:eastAsia="zh-CN"/>
              </w:rPr>
              <w:t>按合同要求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jc w:val="center"/>
              <w:rPr>
                <w:szCs w:val="21"/>
              </w:rPr>
            </w:pPr>
            <w:r>
              <w:rPr>
                <w:rFonts w:hint="eastAsia"/>
                <w:szCs w:val="21"/>
                <w:lang w:val="en-US" w:eastAsia="zh-CN"/>
              </w:rPr>
              <w:t>银行转账</w:t>
            </w:r>
          </w:p>
        </w:tc>
        <w:tc>
          <w:tcPr>
            <w:tcW w:w="1593" w:type="pct"/>
            <w:tcBorders>
              <w:top w:val="single" w:color="auto" w:sz="4" w:space="0"/>
              <w:left w:val="single" w:color="auto" w:sz="4" w:space="0"/>
              <w:bottom w:val="single" w:color="auto" w:sz="4" w:space="0"/>
              <w:right w:val="single" w:color="auto" w:sz="4" w:space="0"/>
            </w:tcBorders>
            <w:noWrap w:val="0"/>
            <w:vAlign w:val="top"/>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rPr>
                <w:rFonts w:hint="default" w:eastAsiaTheme="minorEastAsia"/>
                <w:szCs w:val="21"/>
                <w:lang w:val="en-US" w:eastAsia="zh-CN"/>
              </w:rPr>
            </w:pPr>
            <w:r>
              <w:rPr>
                <w:rFonts w:hint="eastAsia"/>
                <w:szCs w:val="21"/>
                <w:lang w:val="en-US" w:eastAsia="zh-CN"/>
              </w:rPr>
              <w:t>按技术协议书要求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r>
    </w:tbl>
    <w:p>
      <w:pPr>
        <w:pStyle w:val="78"/>
        <w:rPr>
          <w:rFonts w:hint="eastAsia"/>
        </w:rPr>
      </w:pPr>
    </w:p>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r>
              <w:rPr>
                <w:rFonts w:hint="eastAsia" w:ascii="宋体" w:hAnsi="宋体" w:eastAsia="宋体" w:cs="宋体"/>
              </w:rPr>
              <w:t>序号</w:t>
            </w:r>
          </w:p>
        </w:tc>
        <w:tc>
          <w:tcPr>
            <w:tcW w:w="1924" w:type="dxa"/>
          </w:tcPr>
          <w:p>
            <w:pPr>
              <w:pStyle w:val="82"/>
              <w:rPr>
                <w:rFonts w:hint="eastAsia" w:ascii="宋体" w:hAnsi="宋体" w:eastAsia="宋体" w:cs="宋体"/>
              </w:rPr>
            </w:pPr>
            <w:r>
              <w:rPr>
                <w:rFonts w:hint="eastAsia" w:ascii="宋体" w:hAnsi="宋体" w:eastAsia="宋体" w:cs="宋体"/>
              </w:rPr>
              <w:t>名称</w:t>
            </w:r>
          </w:p>
        </w:tc>
        <w:tc>
          <w:tcPr>
            <w:tcW w:w="1236" w:type="dxa"/>
          </w:tcPr>
          <w:p>
            <w:pPr>
              <w:pStyle w:val="82"/>
              <w:rPr>
                <w:rFonts w:hint="eastAsia" w:ascii="宋体" w:hAnsi="宋体" w:eastAsia="宋体" w:cs="宋体"/>
              </w:rPr>
            </w:pPr>
            <w:r>
              <w:rPr>
                <w:rFonts w:hint="eastAsia" w:ascii="宋体" w:hAnsi="宋体" w:eastAsia="宋体" w:cs="宋体"/>
              </w:rPr>
              <w:t>型号规格</w:t>
            </w:r>
          </w:p>
        </w:tc>
        <w:tc>
          <w:tcPr>
            <w:tcW w:w="720" w:type="dxa"/>
          </w:tcPr>
          <w:p>
            <w:pPr>
              <w:pStyle w:val="82"/>
              <w:rPr>
                <w:rFonts w:hint="eastAsia" w:ascii="宋体" w:hAnsi="宋体" w:eastAsia="宋体" w:cs="宋体"/>
              </w:rPr>
            </w:pPr>
            <w:r>
              <w:rPr>
                <w:rFonts w:hint="eastAsia" w:ascii="宋体" w:hAnsi="宋体" w:eastAsia="宋体" w:cs="宋体"/>
              </w:rPr>
              <w:t>单位</w:t>
            </w:r>
          </w:p>
        </w:tc>
        <w:tc>
          <w:tcPr>
            <w:tcW w:w="720" w:type="dxa"/>
          </w:tcPr>
          <w:p>
            <w:pPr>
              <w:pStyle w:val="82"/>
              <w:rPr>
                <w:rFonts w:hint="eastAsia" w:ascii="宋体" w:hAnsi="宋体" w:eastAsia="宋体" w:cs="宋体"/>
              </w:rPr>
            </w:pPr>
            <w:r>
              <w:rPr>
                <w:rFonts w:hint="eastAsia" w:ascii="宋体" w:hAnsi="宋体" w:eastAsia="宋体" w:cs="宋体"/>
              </w:rPr>
              <w:t>数量</w:t>
            </w:r>
          </w:p>
        </w:tc>
        <w:tc>
          <w:tcPr>
            <w:tcW w:w="720" w:type="dxa"/>
          </w:tcPr>
          <w:p>
            <w:pPr>
              <w:pStyle w:val="82"/>
              <w:rPr>
                <w:rFonts w:hint="eastAsia" w:ascii="宋体" w:hAnsi="宋体" w:eastAsia="宋体" w:cs="宋体"/>
              </w:rPr>
            </w:pPr>
            <w:r>
              <w:rPr>
                <w:rFonts w:hint="eastAsia" w:ascii="宋体" w:hAnsi="宋体" w:eastAsia="宋体" w:cs="宋体"/>
              </w:rPr>
              <w:t>单价</w:t>
            </w:r>
          </w:p>
        </w:tc>
        <w:tc>
          <w:tcPr>
            <w:tcW w:w="720" w:type="dxa"/>
          </w:tcPr>
          <w:p>
            <w:pPr>
              <w:pStyle w:val="82"/>
              <w:rPr>
                <w:rFonts w:hint="eastAsia" w:ascii="宋体" w:hAnsi="宋体" w:eastAsia="宋体" w:cs="宋体"/>
              </w:rPr>
            </w:pPr>
            <w:r>
              <w:rPr>
                <w:rFonts w:hint="eastAsia" w:ascii="宋体" w:hAnsi="宋体" w:eastAsia="宋体" w:cs="宋体"/>
              </w:rPr>
              <w:t>总价</w:t>
            </w:r>
          </w:p>
        </w:tc>
        <w:tc>
          <w:tcPr>
            <w:tcW w:w="2235" w:type="dxa"/>
          </w:tcPr>
          <w:p>
            <w:pPr>
              <w:pStyle w:val="82"/>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15535"/>
      <w:bookmarkStart w:id="19" w:name="_Toc639014"/>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921"/>
        <w:gridCol w:w="1068"/>
        <w:gridCol w:w="5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921"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1068"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99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7"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921" w:type="dxa"/>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服务</w:t>
            </w:r>
          </w:p>
        </w:tc>
        <w:tc>
          <w:tcPr>
            <w:tcW w:w="1068"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60</w:t>
            </w:r>
          </w:p>
        </w:tc>
        <w:tc>
          <w:tcPr>
            <w:tcW w:w="5990" w:type="dxa"/>
            <w:vAlign w:val="center"/>
          </w:tcPr>
          <w:p>
            <w:pPr>
              <w:spacing w:line="360" w:lineRule="auto"/>
              <w:ind w:firstLine="480" w:firstLineChars="200"/>
              <w:jc w:val="left"/>
              <w:rPr>
                <w:rFonts w:hint="default" w:ascii="宋体" w:hAnsi="宋体" w:cs="宋体"/>
                <w:sz w:val="24"/>
                <w:szCs w:val="24"/>
                <w:lang w:val="en-US" w:eastAsia="zh-CN"/>
              </w:rPr>
            </w:pPr>
            <w:r>
              <w:rPr>
                <w:rFonts w:hint="eastAsia" w:ascii="宋体" w:hAnsi="宋体" w:cs="宋体"/>
                <w:sz w:val="24"/>
                <w:szCs w:val="24"/>
                <w:lang w:val="en-US" w:eastAsia="zh-CN"/>
              </w:rPr>
              <w:t>1.投标方加油站应优先满足招标方试验车辆的加油需要，并能满足3辆及以上试验车同时加油的需要(但遇国家整体供应调控造成无法保供情形除外)。0-10分</w:t>
            </w:r>
            <w:r>
              <w:rPr>
                <w:rFonts w:hint="eastAsia" w:ascii="宋体" w:hAnsi="宋体" w:cs="宋体"/>
                <w:sz w:val="24"/>
                <w:szCs w:val="24"/>
                <w:lang w:val="en-US" w:eastAsia="zh-CN" w:bidi="ar"/>
              </w:rPr>
              <w:t>。</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投标方应按其向招标方所承诺的提供以下服务:1)提供车辆每日、每月的单车和全部车辆汇总的数据（加油量及费用）统计，并体现每次加油对外市场价和对招标方的优惠价。2)加油功能锁止。油卡功能只保留加油项目，不开放购买其他物品功能。0-10分</w:t>
            </w:r>
            <w:r>
              <w:rPr>
                <w:rFonts w:hint="eastAsia" w:ascii="宋体" w:hAnsi="宋体" w:cs="宋体"/>
                <w:sz w:val="24"/>
                <w:szCs w:val="24"/>
                <w:lang w:val="en-US" w:eastAsia="zh-CN" w:bidi="ar"/>
              </w:rPr>
              <w:t>。</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3.投标方所供的货物，必须符合中国最新版的法律、法规和相关标准、规范的要求，符合项目所在地政府有关特殊要求。0-10分</w:t>
            </w:r>
            <w:r>
              <w:rPr>
                <w:rFonts w:hint="eastAsia" w:ascii="宋体" w:hAnsi="宋体" w:cs="宋体"/>
                <w:sz w:val="24"/>
                <w:szCs w:val="24"/>
                <w:lang w:val="en-US" w:eastAsia="zh-CN" w:bidi="ar"/>
              </w:rPr>
              <w:t>。</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4.投标方应对招标方采购的货物所涉及的技术、产能等信息负有保密义务，招标方拥有追究投标方泄密责任的权利；招标方如有需要，投标方应无条件签署保密协议。0-10分</w:t>
            </w:r>
            <w:r>
              <w:rPr>
                <w:rFonts w:hint="eastAsia" w:ascii="宋体" w:hAnsi="宋体" w:cs="宋体"/>
                <w:sz w:val="24"/>
                <w:szCs w:val="24"/>
                <w:lang w:val="en-US" w:eastAsia="zh-CN" w:bidi="ar"/>
              </w:rPr>
              <w:t>。</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5.</w:t>
            </w:r>
            <w:r>
              <w:rPr>
                <w:rFonts w:hint="eastAsia" w:ascii="宋体" w:hAnsi="宋体" w:cs="宋体"/>
                <w:sz w:val="24"/>
                <w:szCs w:val="24"/>
                <w:lang w:val="it-IT" w:eastAsia="zh-CN"/>
              </w:rPr>
              <w:t>所供柴油必须满足GB 19147-2016中表3车用柴油(VI)技术要求，并定期提供油品相关证明材料。买方可随时对卖方所供油品进行抽样检测，若发现检测不合格，第一次罚款5000元，并赔偿由油品质量问题对买方试验车辆造成的损失。</w:t>
            </w:r>
            <w:r>
              <w:rPr>
                <w:rFonts w:hint="eastAsia" w:ascii="宋体" w:hAnsi="宋体" w:cs="宋体"/>
                <w:sz w:val="24"/>
                <w:szCs w:val="24"/>
                <w:lang w:val="en-US" w:eastAsia="zh-CN"/>
              </w:rPr>
              <w:t>0-10分。</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6.</w:t>
            </w:r>
            <w:r>
              <w:rPr>
                <w:rFonts w:hint="eastAsia" w:ascii="宋体" w:hAnsi="宋体" w:cs="宋体"/>
                <w:sz w:val="24"/>
                <w:szCs w:val="24"/>
                <w:lang w:val="it-IT" w:eastAsia="zh-CN"/>
              </w:rPr>
              <w:t>定价方式：可以根据国家规定的调价时间进行价格</w:t>
            </w:r>
            <w:r>
              <w:rPr>
                <w:rFonts w:hint="eastAsia" w:ascii="宋体" w:hAnsi="宋体" w:cs="宋体"/>
                <w:sz w:val="24"/>
                <w:szCs w:val="24"/>
                <w:lang w:val="en-US" w:eastAsia="zh-CN"/>
              </w:rPr>
              <w:t>浮动</w:t>
            </w:r>
            <w:r>
              <w:rPr>
                <w:rFonts w:hint="eastAsia" w:ascii="宋体" w:hAnsi="宋体" w:cs="宋体"/>
                <w:sz w:val="24"/>
                <w:szCs w:val="24"/>
                <w:lang w:val="it-IT" w:eastAsia="zh-CN"/>
              </w:rPr>
              <w:t>调整，但</w:t>
            </w:r>
            <w:r>
              <w:rPr>
                <w:rFonts w:hint="eastAsia" w:ascii="宋体" w:hAnsi="宋体" w:cs="宋体"/>
                <w:sz w:val="24"/>
                <w:szCs w:val="24"/>
                <w:lang w:val="en-US" w:eastAsia="zh-CN"/>
              </w:rPr>
              <w:t>给与招标方的</w:t>
            </w:r>
            <w:r>
              <w:rPr>
                <w:rFonts w:hint="eastAsia" w:ascii="宋体" w:hAnsi="宋体" w:cs="宋体"/>
                <w:sz w:val="24"/>
                <w:szCs w:val="24"/>
                <w:lang w:val="it-IT" w:eastAsia="zh-CN"/>
              </w:rPr>
              <w:t>优惠</w:t>
            </w:r>
            <w:r>
              <w:rPr>
                <w:rFonts w:hint="eastAsia" w:ascii="宋体" w:hAnsi="宋体" w:cs="宋体"/>
                <w:sz w:val="24"/>
                <w:szCs w:val="24"/>
                <w:lang w:val="en-US" w:eastAsia="zh-CN"/>
              </w:rPr>
              <w:t>需按合同正常</w:t>
            </w:r>
            <w:r>
              <w:rPr>
                <w:rFonts w:hint="eastAsia" w:ascii="宋体" w:hAnsi="宋体" w:cs="宋体"/>
                <w:sz w:val="24"/>
                <w:szCs w:val="24"/>
                <w:lang w:val="it-IT" w:eastAsia="zh-CN"/>
              </w:rPr>
              <w:t>执行。</w:t>
            </w:r>
            <w:r>
              <w:rPr>
                <w:rFonts w:hint="eastAsia" w:ascii="宋体" w:hAnsi="宋体" w:cs="宋体"/>
                <w:sz w:val="24"/>
                <w:szCs w:val="24"/>
                <w:lang w:val="en-US" w:eastAsia="zh-CN"/>
              </w:rPr>
              <w:t>0-10分。</w:t>
            </w:r>
          </w:p>
          <w:p>
            <w:pPr>
              <w:spacing w:line="360" w:lineRule="auto"/>
              <w:jc w:val="both"/>
              <w:rPr>
                <w:rFonts w:hint="eastAsia" w:ascii="宋体" w:hAnsi="宋体" w:eastAsia="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8" w:hRule="atLeast"/>
          <w:jc w:val="center"/>
        </w:trPr>
        <w:tc>
          <w:tcPr>
            <w:tcW w:w="825" w:type="dxa"/>
            <w:vMerge w:val="continue"/>
            <w:vAlign w:val="center"/>
          </w:tcPr>
          <w:p>
            <w:pPr>
              <w:tabs>
                <w:tab w:val="left" w:pos="13965"/>
              </w:tabs>
              <w:spacing w:line="360" w:lineRule="auto"/>
              <w:ind w:right="-6"/>
              <w:jc w:val="center"/>
              <w:rPr>
                <w:rFonts w:hint="eastAsia" w:ascii="宋体" w:hAnsi="宋体" w:cs="宋体"/>
                <w:szCs w:val="21"/>
                <w:lang w:val="en-US" w:eastAsia="zh-CN"/>
              </w:rPr>
            </w:pPr>
          </w:p>
        </w:tc>
        <w:tc>
          <w:tcPr>
            <w:tcW w:w="574" w:type="dxa"/>
            <w:vAlign w:val="center"/>
          </w:tcPr>
          <w:p>
            <w:pPr>
              <w:tabs>
                <w:tab w:val="left" w:pos="13965"/>
              </w:tabs>
              <w:spacing w:line="360" w:lineRule="auto"/>
              <w:ind w:right="-6"/>
              <w:jc w:val="center"/>
              <w:rPr>
                <w:rFonts w:hint="default" w:ascii="宋体" w:hAnsi="宋体" w:cs="宋体"/>
                <w:szCs w:val="21"/>
                <w:lang w:val="en-US" w:eastAsia="zh-CN"/>
              </w:rPr>
            </w:pPr>
            <w:r>
              <w:rPr>
                <w:rFonts w:hint="eastAsia" w:ascii="宋体" w:hAnsi="宋体" w:cs="宋体"/>
                <w:szCs w:val="21"/>
                <w:lang w:val="en-US" w:eastAsia="zh-CN"/>
              </w:rPr>
              <w:t>2</w:t>
            </w:r>
          </w:p>
        </w:tc>
        <w:tc>
          <w:tcPr>
            <w:tcW w:w="921" w:type="dxa"/>
            <w:vAlign w:val="center"/>
          </w:tcPr>
          <w:p>
            <w:pPr>
              <w:tabs>
                <w:tab w:val="left" w:pos="7854"/>
              </w:tabs>
              <w:spacing w:line="300" w:lineRule="exact"/>
              <w:jc w:val="center"/>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21"/>
                <w:szCs w:val="21"/>
                <w:lang w:val="en-US" w:eastAsia="zh-CN"/>
              </w:rPr>
              <w:t>便利性</w:t>
            </w:r>
          </w:p>
        </w:tc>
        <w:tc>
          <w:tcPr>
            <w:tcW w:w="1068" w:type="dxa"/>
            <w:vAlign w:val="center"/>
          </w:tcPr>
          <w:p>
            <w:pPr>
              <w:tabs>
                <w:tab w:val="left" w:pos="7854"/>
              </w:tabs>
              <w:spacing w:line="300" w:lineRule="exact"/>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20</w:t>
            </w:r>
          </w:p>
        </w:tc>
        <w:tc>
          <w:tcPr>
            <w:tcW w:w="5990" w:type="dxa"/>
            <w:vAlign w:val="center"/>
          </w:tcPr>
          <w:p>
            <w:pPr>
              <w:keepNext w:val="0"/>
              <w:keepLines w:val="0"/>
              <w:pageBreakBefore w:val="0"/>
              <w:widowControl w:val="0"/>
              <w:tabs>
                <w:tab w:val="left" w:pos="7854"/>
              </w:tabs>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ascii="宋体" w:hAnsi="宋体" w:eastAsia="宋体" w:cs="宋体"/>
                <w:bCs/>
                <w:sz w:val="24"/>
                <w:szCs w:val="24"/>
                <w:lang w:eastAsia="zh-CN"/>
              </w:rPr>
              <w:t>投标方</w:t>
            </w:r>
            <w:r>
              <w:rPr>
                <w:rFonts w:hint="eastAsia" w:ascii="宋体" w:hAnsi="宋体" w:eastAsia="宋体" w:cs="宋体"/>
                <w:bCs/>
                <w:sz w:val="24"/>
                <w:szCs w:val="24"/>
                <w:lang w:val="en-US" w:eastAsia="zh-CN"/>
              </w:rPr>
              <w:t>加油站到招标方</w:t>
            </w:r>
            <w:r>
              <w:rPr>
                <w:rFonts w:hint="eastAsia" w:ascii="宋体" w:hAnsi="宋体" w:eastAsia="宋体" w:cs="宋体"/>
                <w:bCs/>
                <w:sz w:val="24"/>
                <w:szCs w:val="24"/>
              </w:rPr>
              <w:t>驻地所在地</w:t>
            </w:r>
            <w:r>
              <w:rPr>
                <w:rFonts w:hint="eastAsia" w:ascii="宋体" w:hAnsi="宋体" w:eastAsia="宋体" w:cs="宋体"/>
                <w:bCs/>
                <w:sz w:val="24"/>
                <w:szCs w:val="24"/>
                <w:lang w:eastAsia="zh-CN"/>
              </w:rPr>
              <w:t>（</w:t>
            </w:r>
            <w:r>
              <w:rPr>
                <w:rFonts w:hint="eastAsia" w:ascii="宋体" w:hAnsi="宋体" w:eastAsia="宋体" w:cs="宋体"/>
                <w:bCs/>
                <w:sz w:val="24"/>
                <w:szCs w:val="24"/>
              </w:rPr>
              <w:t>重庆市双桥经开区邮亭镇</w:t>
            </w:r>
            <w:r>
              <w:rPr>
                <w:rFonts w:hint="eastAsia" w:ascii="宋体" w:hAnsi="宋体" w:eastAsia="宋体" w:cs="宋体"/>
                <w:bCs/>
                <w:sz w:val="24"/>
                <w:szCs w:val="24"/>
                <w:lang w:val="en-US" w:eastAsia="zh-CN"/>
              </w:rPr>
              <w:t>中国汽车工程研究院大足试验基地）</w:t>
            </w:r>
            <w:r>
              <w:rPr>
                <w:rFonts w:hint="eastAsia" w:ascii="宋体" w:hAnsi="宋体" w:eastAsia="宋体" w:cs="宋体"/>
                <w:bCs/>
                <w:sz w:val="24"/>
                <w:szCs w:val="24"/>
              </w:rPr>
              <w:t>的实际行车距离</w:t>
            </w:r>
            <w:r>
              <w:rPr>
                <w:rFonts w:hint="eastAsia" w:ascii="宋体" w:hAnsi="宋体" w:eastAsia="宋体" w:cs="宋体"/>
                <w:bCs/>
                <w:sz w:val="24"/>
                <w:szCs w:val="24"/>
                <w:lang w:val="en-US" w:eastAsia="zh-CN"/>
              </w:rPr>
              <w:t>。0-20分。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8" w:hRule="atLeast"/>
          <w:jc w:val="center"/>
        </w:trPr>
        <w:tc>
          <w:tcPr>
            <w:tcW w:w="825" w:type="dxa"/>
            <w:vMerge w:val="continue"/>
            <w:vAlign w:val="center"/>
          </w:tcPr>
          <w:p>
            <w:pPr>
              <w:tabs>
                <w:tab w:val="left" w:pos="13965"/>
              </w:tabs>
              <w:spacing w:line="360" w:lineRule="auto"/>
              <w:ind w:right="-6"/>
              <w:jc w:val="center"/>
              <w:rPr>
                <w:rFonts w:hint="eastAsia" w:ascii="宋体" w:hAnsi="宋体" w:cs="宋体"/>
                <w:szCs w:val="21"/>
                <w:lang w:val="en-US" w:eastAsia="zh-CN"/>
              </w:rPr>
            </w:pPr>
          </w:p>
        </w:tc>
        <w:tc>
          <w:tcPr>
            <w:tcW w:w="574" w:type="dxa"/>
            <w:vAlign w:val="center"/>
          </w:tcPr>
          <w:p>
            <w:pPr>
              <w:tabs>
                <w:tab w:val="left" w:pos="13965"/>
              </w:tabs>
              <w:spacing w:line="360" w:lineRule="auto"/>
              <w:ind w:right="-6"/>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921" w:type="dxa"/>
            <w:vAlign w:val="center"/>
          </w:tcPr>
          <w:p>
            <w:pPr>
              <w:tabs>
                <w:tab w:val="left" w:pos="7854"/>
              </w:tabs>
              <w:spacing w:line="300" w:lineRule="exact"/>
              <w:jc w:val="center"/>
              <w:rPr>
                <w:rFonts w:hint="default" w:ascii="宋体" w:hAnsi="宋体" w:cs="宋体"/>
                <w:szCs w:val="21"/>
                <w:lang w:val="en-US" w:eastAsia="zh-CN"/>
              </w:rPr>
            </w:pPr>
            <w:r>
              <w:rPr>
                <w:rFonts w:hint="eastAsia" w:ascii="宋体" w:hAnsi="宋体" w:eastAsia="宋体" w:cs="宋体"/>
                <w:b w:val="0"/>
                <w:bCs/>
                <w:color w:val="000000"/>
                <w:sz w:val="21"/>
                <w:szCs w:val="21"/>
              </w:rPr>
              <w:t>同类项目业绩证明</w:t>
            </w:r>
          </w:p>
        </w:tc>
        <w:tc>
          <w:tcPr>
            <w:tcW w:w="1068" w:type="dxa"/>
            <w:vAlign w:val="center"/>
          </w:tcPr>
          <w:p>
            <w:pPr>
              <w:tabs>
                <w:tab w:val="left" w:pos="7854"/>
              </w:tabs>
              <w:spacing w:line="300" w:lineRule="exact"/>
              <w:jc w:val="center"/>
              <w:rPr>
                <w:rFonts w:hint="default" w:ascii="宋体" w:hAnsi="宋体" w:cs="宋体"/>
                <w:szCs w:val="21"/>
                <w:lang w:val="en-US" w:eastAsia="zh-CN"/>
              </w:rPr>
            </w:pPr>
            <w:r>
              <w:rPr>
                <w:rFonts w:hint="eastAsia" w:ascii="宋体" w:hAnsi="宋体" w:cs="宋体"/>
                <w:color w:val="000000"/>
                <w:sz w:val="21"/>
                <w:szCs w:val="21"/>
                <w:lang w:val="en-US" w:eastAsia="zh-CN"/>
              </w:rPr>
              <w:t>10</w:t>
            </w:r>
          </w:p>
        </w:tc>
        <w:tc>
          <w:tcPr>
            <w:tcW w:w="5990" w:type="dxa"/>
            <w:vAlign w:val="center"/>
          </w:tcPr>
          <w:p>
            <w:pPr>
              <w:keepNext w:val="0"/>
              <w:keepLines w:val="0"/>
              <w:pageBreakBefore w:val="0"/>
              <w:widowControl w:val="0"/>
              <w:tabs>
                <w:tab w:val="left" w:pos="7854"/>
              </w:tabs>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eastAsia" w:ascii="宋体" w:hAnsi="宋体" w:eastAsia="宋体" w:cs="宋体"/>
                <w:bCs/>
                <w:sz w:val="24"/>
                <w:szCs w:val="24"/>
              </w:rPr>
              <w:t>企业近三年以来已交付使用的与本次招标项目类似产品的业绩。0-</w:t>
            </w:r>
            <w:r>
              <w:rPr>
                <w:rFonts w:hint="eastAsia" w:ascii="宋体" w:hAnsi="宋体" w:cs="宋体"/>
                <w:bCs/>
                <w:sz w:val="24"/>
                <w:szCs w:val="24"/>
                <w:lang w:val="en-US" w:eastAsia="zh-CN"/>
              </w:rPr>
              <w:t>10</w:t>
            </w:r>
            <w:r>
              <w:rPr>
                <w:rFonts w:hint="eastAsia" w:ascii="宋体" w:hAnsi="宋体" w:eastAsia="宋体"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4" w:hRule="atLeast"/>
          <w:jc w:val="center"/>
        </w:trPr>
        <w:tc>
          <w:tcPr>
            <w:tcW w:w="825" w:type="dxa"/>
            <w:vMerge w:val="continue"/>
            <w:vAlign w:val="center"/>
          </w:tcPr>
          <w:p>
            <w:pPr>
              <w:tabs>
                <w:tab w:val="left" w:pos="13965"/>
              </w:tabs>
              <w:spacing w:line="360" w:lineRule="auto"/>
              <w:ind w:right="-6"/>
              <w:jc w:val="center"/>
              <w:rPr>
                <w:rFonts w:hint="eastAsia" w:ascii="宋体" w:hAnsi="宋体" w:cs="宋体"/>
                <w:szCs w:val="21"/>
                <w:lang w:val="en-US" w:eastAsia="zh-CN"/>
              </w:rPr>
            </w:pPr>
          </w:p>
        </w:tc>
        <w:tc>
          <w:tcPr>
            <w:tcW w:w="574" w:type="dxa"/>
            <w:vAlign w:val="center"/>
          </w:tcPr>
          <w:p>
            <w:pPr>
              <w:tabs>
                <w:tab w:val="left" w:pos="13965"/>
              </w:tabs>
              <w:spacing w:line="360" w:lineRule="auto"/>
              <w:ind w:right="-6" w:right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w:t>
            </w:r>
          </w:p>
        </w:tc>
        <w:tc>
          <w:tcPr>
            <w:tcW w:w="921" w:type="dxa"/>
            <w:vAlign w:val="center"/>
          </w:tcPr>
          <w:p>
            <w:pPr>
              <w:spacing w:line="360" w:lineRule="auto"/>
              <w:jc w:val="center"/>
              <w:rPr>
                <w:rFonts w:hint="eastAsia" w:ascii="宋体" w:hAnsi="宋体" w:cs="宋体"/>
                <w:szCs w:val="21"/>
                <w:lang w:val="en-US" w:eastAsia="zh-CN"/>
              </w:rPr>
            </w:pPr>
            <w:r>
              <w:rPr>
                <w:rFonts w:hint="eastAsia" w:ascii="宋体" w:hAnsi="宋体" w:cs="宋体"/>
                <w:szCs w:val="21"/>
                <w:lang w:val="en-US" w:eastAsia="zh-CN"/>
              </w:rPr>
              <w:t>现场</w:t>
            </w:r>
          </w:p>
          <w:p>
            <w:pPr>
              <w:spacing w:line="360" w:lineRule="auto"/>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答疑</w:t>
            </w:r>
          </w:p>
        </w:tc>
        <w:tc>
          <w:tcPr>
            <w:tcW w:w="1068" w:type="dxa"/>
            <w:vAlign w:val="center"/>
          </w:tcPr>
          <w:p>
            <w:pPr>
              <w:tabs>
                <w:tab w:val="left" w:pos="13965"/>
              </w:tabs>
              <w:spacing w:line="360" w:lineRule="auto"/>
              <w:ind w:right="-6" w:right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10</w:t>
            </w:r>
          </w:p>
        </w:tc>
        <w:tc>
          <w:tcPr>
            <w:tcW w:w="5990" w:type="dxa"/>
            <w:vAlign w:val="center"/>
          </w:tcPr>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bCs/>
                <w:sz w:val="24"/>
                <w:szCs w:val="24"/>
              </w:rPr>
              <w:t>投标</w:t>
            </w:r>
            <w:r>
              <w:rPr>
                <w:rFonts w:hint="eastAsia" w:ascii="宋体" w:hAnsi="宋体" w:cs="宋体"/>
                <w:bCs/>
                <w:sz w:val="24"/>
                <w:szCs w:val="24"/>
                <w:lang w:val="en-US" w:eastAsia="zh-CN"/>
              </w:rPr>
              <w:t>方</w:t>
            </w:r>
            <w:r>
              <w:rPr>
                <w:rFonts w:hint="eastAsia" w:ascii="宋体" w:hAnsi="宋体" w:eastAsia="宋体" w:cs="宋体"/>
                <w:bCs/>
                <w:sz w:val="24"/>
                <w:szCs w:val="24"/>
              </w:rPr>
              <w:t>代表对方案、技术优势的讲解，以及就该项目难点回答评标专家现场提问</w:t>
            </w:r>
            <w:r>
              <w:rPr>
                <w:rFonts w:hint="eastAsia" w:ascii="宋体" w:hAnsi="宋体" w:cs="宋体"/>
                <w:sz w:val="24"/>
                <w:szCs w:val="24"/>
                <w:lang w:val="en-US" w:eastAsia="zh-CN"/>
              </w:rPr>
              <w:t>。</w:t>
            </w:r>
            <w:r>
              <w:rPr>
                <w:rFonts w:hint="eastAsia" w:ascii="宋体" w:hAnsi="宋体" w:eastAsia="宋体" w:cs="宋体"/>
                <w:bCs/>
                <w:sz w:val="24"/>
                <w:szCs w:val="24"/>
              </w:rPr>
              <w:t>0-10分。</w:t>
            </w:r>
          </w:p>
        </w:tc>
      </w:tr>
    </w:tbl>
    <w:p>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kern w:val="2"/>
          <w:sz w:val="24"/>
          <w:szCs w:val="24"/>
          <w:lang w:val="en-US" w:eastAsia="zh-CN" w:bidi="ar-SA"/>
        </w:rPr>
      </w:pPr>
    </w:p>
    <w:p>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kern w:val="2"/>
          <w:sz w:val="24"/>
          <w:szCs w:val="24"/>
          <w:lang w:val="en-US" w:eastAsia="zh-CN" w:bidi="ar-SA"/>
        </w:rPr>
      </w:pPr>
    </w:p>
    <w:p>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Cs/>
          <w:color w:val="auto"/>
          <w:kern w:val="2"/>
          <w:sz w:val="24"/>
          <w:szCs w:val="24"/>
          <w:lang w:val="en-US" w:eastAsia="zh-CN" w:bidi="ar-SA"/>
        </w:rPr>
      </w:pPr>
      <w:r>
        <w:rPr>
          <w:rFonts w:hint="eastAsia" w:ascii="宋体" w:hAnsi="宋体" w:cs="宋体"/>
          <w:bCs/>
          <w:color w:val="auto"/>
          <w:kern w:val="2"/>
          <w:sz w:val="24"/>
          <w:szCs w:val="24"/>
          <w:lang w:val="en-US" w:eastAsia="zh-CN" w:bidi="ar-SA"/>
        </w:rPr>
        <w:t>1总分超过80分晋级商务标</w:t>
      </w:r>
    </w:p>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default" w:ascii="宋体" w:hAnsi="宋体" w:eastAsia="宋体" w:cs="宋体"/>
          <w:color w:val="000000"/>
          <w:sz w:val="24"/>
          <w:szCs w:val="24"/>
          <w:u w:val="single"/>
          <w:lang w:val="en-US"/>
        </w:rPr>
      </w:pPr>
      <w:r>
        <w:rPr>
          <w:rFonts w:hint="eastAsia" w:ascii="宋体" w:hAnsi="宋体" w:eastAsia="宋体" w:cs="宋体"/>
          <w:color w:val="000000"/>
          <w:sz w:val="24"/>
          <w:szCs w:val="24"/>
        </w:rPr>
        <w:t>项目名称：</w:t>
      </w:r>
      <w:r>
        <w:rPr>
          <w:rFonts w:hint="eastAsia" w:ascii="宋体" w:hAnsi="宋体" w:cs="宋体"/>
          <w:color w:val="000000"/>
          <w:sz w:val="24"/>
          <w:szCs w:val="24"/>
          <w:highlight w:val="none"/>
          <w:u w:val="single"/>
          <w:lang w:val="en-US" w:eastAsia="zh-CN"/>
        </w:rPr>
        <w:t>重庆大足试验车燃油采购项目</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使用</w:t>
      </w:r>
      <w:r>
        <w:rPr>
          <w:rFonts w:hint="eastAsia" w:ascii="宋体" w:hAnsi="宋体" w:eastAsia="宋体" w:cs="宋体"/>
          <w:color w:val="000000"/>
          <w:sz w:val="24"/>
          <w:szCs w:val="24"/>
        </w:rPr>
        <w:t>地点：</w:t>
      </w:r>
      <w:r>
        <w:rPr>
          <w:rFonts w:hint="eastAsia" w:ascii="宋体" w:hAnsi="宋体" w:cs="宋体"/>
          <w:color w:val="000000"/>
          <w:sz w:val="24"/>
          <w:szCs w:val="24"/>
          <w:lang w:val="en-US" w:eastAsia="zh-CN"/>
        </w:rPr>
        <w:t>重庆市大足区邮亭镇宋家坡中国汽车工程研究院大足试验基地</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采购货物</w:t>
      </w:r>
      <w:r>
        <w:rPr>
          <w:rFonts w:hint="eastAsia" w:ascii="宋体" w:hAnsi="宋体" w:eastAsia="宋体" w:cs="宋体"/>
          <w:color w:val="000000"/>
          <w:sz w:val="24"/>
          <w:szCs w:val="24"/>
        </w:rPr>
        <w:t>概况：</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047"/>
        <w:gridCol w:w="2047"/>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名称</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型号规格</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1</w:t>
            </w:r>
          </w:p>
        </w:tc>
        <w:tc>
          <w:tcPr>
            <w:tcW w:w="2047" w:type="dxa"/>
            <w:noWrap w:val="0"/>
            <w:vAlign w:val="center"/>
          </w:tcPr>
          <w:p>
            <w:pPr>
              <w:spacing w:line="36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柴油</w:t>
            </w:r>
          </w:p>
        </w:tc>
        <w:tc>
          <w:tcPr>
            <w:tcW w:w="2047" w:type="dxa"/>
            <w:noWrap w:val="0"/>
            <w:vAlign w:val="center"/>
          </w:tcPr>
          <w:p>
            <w:pPr>
              <w:spacing w:line="360" w:lineRule="exac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柴油0#</w:t>
            </w:r>
          </w:p>
        </w:tc>
        <w:tc>
          <w:tcPr>
            <w:tcW w:w="2047" w:type="dxa"/>
            <w:noWrap w:val="0"/>
            <w:vAlign w:val="center"/>
          </w:tcPr>
          <w:p>
            <w:pPr>
              <w:spacing w:line="36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升</w:t>
            </w:r>
          </w:p>
        </w:tc>
      </w:tr>
    </w:tbl>
    <w:p>
      <w:pPr>
        <w:pStyle w:val="80"/>
        <w:rPr>
          <w:rFonts w:hint="eastAsia" w:ascii="宋体" w:hAnsi="宋体" w:eastAsia="宋体" w:cs="宋体"/>
        </w:rPr>
      </w:pPr>
    </w:p>
    <w:p>
      <w:pPr>
        <w:pStyle w:val="80"/>
        <w:rPr>
          <w:rFonts w:hint="eastAsia" w:ascii="宋体" w:hAnsi="宋体" w:eastAsia="宋体" w:cs="宋体"/>
        </w:rPr>
      </w:pPr>
      <w:r>
        <w:rPr>
          <w:rFonts w:hint="eastAsia" w:ascii="宋体" w:hAnsi="宋体" w:eastAsia="宋体" w:cs="宋体"/>
        </w:rPr>
        <w:t>二、</w:t>
      </w:r>
      <w:r>
        <w:rPr>
          <w:rFonts w:hint="eastAsia" w:eastAsia="宋体" w:cs="宋体"/>
          <w:lang w:val="en-US" w:eastAsia="zh-CN"/>
        </w:rPr>
        <w:t>基本</w:t>
      </w:r>
      <w:r>
        <w:rPr>
          <w:rFonts w:hint="eastAsia" w:ascii="宋体" w:hAnsi="宋体" w:eastAsia="宋体" w:cs="宋体"/>
        </w:rPr>
        <w:t>要求</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1.投标方应按时为招标方提供满足使用要求的合格柴油。</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2.投标方加油站应优先满足招标方试验车辆的加油需要，并能满足3辆及以上试验车同时加油的需要(但遇国家整体供应调控造成无法保供情形除外)。</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投标方应按其向招标方所承诺的提供以下服务:1)提供车辆每日、每月的单车和全部车辆汇总的数据（加油量及费用）统计，并体现每次加油对外市场价和对招标方的优惠价。2)加油功能锁止。油卡功能只保留加油项目，不开放购买其他物品功能。</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4.投标方所供的货物，必须符合中国最新版的法律、法规和相关标准、规范的要求，符合项目所在地政府有关特殊要求。</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5.投标方所供货物涉及的专利权技术以及知识产权保护的其它技术等，应保证招标方不因此受到任何侵权指控以及实际损失。</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6.投标方应保证所供货物的先进性、可靠性、经济性和实用性，并为全新货物（或设备）。</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7.投标方应满足招标方提出的各项技术要求，必要时应当免费提供技术承诺或担保。</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8.投标方应保证所供货物（或设备）为中国政府指定或规定的主管部门公布的非淘汰货物（或设备），并尽力提供中国政府指定或规定的主管部门认可的环保型和节能型货物（或设备）。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9.投标方应对招标方采购的货物所涉及的技术、产能等信息负有保密义务，招标方拥有追究投标方泄密责任的权利；招标方如有需要，投标方应无条件签署保密协议。</w:t>
      </w:r>
    </w:p>
    <w:p>
      <w:pPr>
        <w:pStyle w:val="80"/>
        <w:rPr>
          <w:rFonts w:hint="eastAsia" w:ascii="宋体" w:hAnsi="宋体" w:eastAsia="宋体" w:cs="宋体"/>
        </w:rPr>
      </w:pPr>
      <w:bookmarkStart w:id="23" w:name="_Toc283814116"/>
      <w:r>
        <w:rPr>
          <w:rFonts w:hint="eastAsia" w:eastAsia="宋体" w:cs="宋体"/>
          <w:lang w:val="en-US" w:eastAsia="zh-CN"/>
        </w:rPr>
        <w:t>三</w:t>
      </w:r>
      <w:r>
        <w:rPr>
          <w:rFonts w:hint="eastAsia" w:ascii="宋体" w:hAnsi="宋体" w:eastAsia="宋体" w:cs="宋体"/>
        </w:rPr>
        <w:t>、</w:t>
      </w:r>
      <w:r>
        <w:rPr>
          <w:rFonts w:hint="eastAsia" w:eastAsia="宋体" w:cs="宋体"/>
          <w:lang w:val="en-US" w:eastAsia="zh-CN"/>
        </w:rPr>
        <w:t>技术</w:t>
      </w:r>
      <w:r>
        <w:rPr>
          <w:rFonts w:hint="eastAsia" w:ascii="宋体" w:hAnsi="宋体" w:eastAsia="宋体" w:cs="宋体"/>
        </w:rPr>
        <w:t>要求</w:t>
      </w:r>
    </w:p>
    <w:p>
      <w:pPr>
        <w:spacing w:line="360" w:lineRule="auto"/>
        <w:ind w:firstLine="480" w:firstLineChars="200"/>
        <w:rPr>
          <w:rFonts w:hint="eastAsia" w:ascii="等线" w:hAnsi="等线" w:eastAsia="等线" w:cs="等线"/>
          <w:b/>
          <w:color w:val="000000"/>
          <w:sz w:val="24"/>
          <w:szCs w:val="24"/>
        </w:rPr>
      </w:pPr>
      <w:bookmarkStart w:id="24" w:name="_Toc465187641"/>
      <w:r>
        <w:rPr>
          <w:rFonts w:hint="eastAsia" w:ascii="等线" w:hAnsi="等线" w:eastAsia="等线" w:cs="等线"/>
          <w:b/>
          <w:color w:val="000000"/>
          <w:sz w:val="24"/>
          <w:szCs w:val="24"/>
        </w:rPr>
        <w:t>（注：带*的项目为废标项目，如有一项不能满足即废标）</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w:t>
      </w:r>
      <w:r>
        <w:rPr>
          <w:rFonts w:hint="eastAsia" w:ascii="宋体" w:hAnsi="宋体" w:cs="宋体"/>
          <w:sz w:val="24"/>
          <w:szCs w:val="24"/>
          <w:lang w:val="it-IT" w:eastAsia="zh-CN"/>
        </w:rPr>
        <w:t>1 所供柴油必须满足GB 19147-2016中表3车用柴油(VI)技术要求，并定期提供油品相关证明材料。买方可随时对卖方所供油品进行抽样检测，若发现检测不合格，第一次罚款5000元，并赔偿由油品质量问题对买方试验车辆造成的损失；第二次检测不合格，暂停</w:t>
      </w:r>
      <w:r>
        <w:rPr>
          <w:rFonts w:hint="eastAsia" w:ascii="宋体" w:hAnsi="宋体" w:cs="宋体"/>
          <w:sz w:val="24"/>
          <w:szCs w:val="24"/>
          <w:lang w:val="en-US" w:eastAsia="zh-CN"/>
        </w:rPr>
        <w:t>使用卖方柴油</w:t>
      </w:r>
      <w:r>
        <w:rPr>
          <w:rFonts w:hint="eastAsia" w:ascii="宋体" w:hAnsi="宋体" w:cs="宋体"/>
          <w:sz w:val="24"/>
          <w:szCs w:val="24"/>
          <w:lang w:val="it-IT" w:eastAsia="zh-CN"/>
        </w:rPr>
        <w:t>。</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w:t>
      </w:r>
      <w:r>
        <w:rPr>
          <w:rFonts w:hint="eastAsia" w:ascii="宋体" w:hAnsi="宋体" w:cs="宋体"/>
          <w:sz w:val="24"/>
          <w:szCs w:val="24"/>
          <w:lang w:val="it-IT" w:eastAsia="zh-CN"/>
        </w:rPr>
        <w:t xml:space="preserve">2 </w:t>
      </w:r>
      <w:r>
        <w:rPr>
          <w:rFonts w:hint="eastAsia" w:ascii="宋体" w:hAnsi="宋体" w:cs="宋体"/>
          <w:sz w:val="24"/>
          <w:szCs w:val="24"/>
          <w:lang w:eastAsia="zh-CN" w:bidi="ar"/>
        </w:rPr>
        <w:t>投标方</w:t>
      </w:r>
      <w:r>
        <w:rPr>
          <w:rFonts w:hint="eastAsia" w:ascii="宋体" w:hAnsi="宋体" w:cs="宋体"/>
          <w:sz w:val="24"/>
          <w:szCs w:val="24"/>
          <w:lang w:val="en-US" w:eastAsia="zh-CN" w:bidi="ar"/>
        </w:rPr>
        <w:t>加油站</w:t>
      </w:r>
      <w:r>
        <w:rPr>
          <w:rFonts w:hint="eastAsia" w:ascii="宋体" w:hAnsi="宋体" w:eastAsia="宋体" w:cs="宋体"/>
          <w:sz w:val="24"/>
          <w:szCs w:val="24"/>
          <w:lang w:bidi="ar"/>
        </w:rPr>
        <w:t>到</w:t>
      </w:r>
      <w:r>
        <w:rPr>
          <w:rFonts w:hint="eastAsia" w:ascii="宋体" w:hAnsi="宋体" w:cs="宋体"/>
          <w:sz w:val="24"/>
          <w:szCs w:val="24"/>
          <w:lang w:eastAsia="zh-CN" w:bidi="ar"/>
        </w:rPr>
        <w:t>招标方</w:t>
      </w:r>
      <w:r>
        <w:rPr>
          <w:rFonts w:hint="eastAsia" w:ascii="宋体" w:hAnsi="宋体" w:eastAsia="宋体" w:cs="宋体"/>
          <w:sz w:val="24"/>
          <w:szCs w:val="24"/>
          <w:lang w:bidi="ar"/>
        </w:rPr>
        <w:t>重庆大足试验点驻地</w:t>
      </w:r>
      <w:r>
        <w:rPr>
          <w:rFonts w:hint="eastAsia" w:ascii="宋体" w:hAnsi="宋体" w:cs="宋体"/>
          <w:sz w:val="24"/>
          <w:szCs w:val="24"/>
          <w:lang w:eastAsia="zh-CN" w:bidi="ar"/>
        </w:rPr>
        <w:t>（</w:t>
      </w:r>
      <w:r>
        <w:rPr>
          <w:rFonts w:hint="eastAsia" w:ascii="宋体" w:hAnsi="宋体" w:cs="宋体"/>
          <w:color w:val="000000"/>
          <w:sz w:val="24"/>
          <w:szCs w:val="24"/>
          <w:lang w:val="en-US" w:eastAsia="zh-CN"/>
        </w:rPr>
        <w:t>重庆市大足区邮亭镇宋家坡中国汽车工程研究院大足试验基地）</w:t>
      </w:r>
      <w:r>
        <w:rPr>
          <w:rFonts w:hint="eastAsia" w:ascii="宋体" w:hAnsi="宋体" w:eastAsia="宋体" w:cs="宋体"/>
          <w:sz w:val="24"/>
          <w:szCs w:val="24"/>
          <w:lang w:bidi="ar"/>
        </w:rPr>
        <w:t>的实际行车距离</w:t>
      </w:r>
      <w:r>
        <w:rPr>
          <w:rFonts w:hint="eastAsia" w:ascii="宋体" w:hAnsi="宋体" w:cs="宋体"/>
          <w:sz w:val="24"/>
          <w:szCs w:val="24"/>
          <w:lang w:val="en-US" w:eastAsia="zh-CN" w:bidi="ar"/>
        </w:rPr>
        <w:t>应在5</w:t>
      </w:r>
      <w:r>
        <w:rPr>
          <w:rFonts w:hint="eastAsia" w:ascii="宋体" w:hAnsi="宋体" w:eastAsia="宋体" w:cs="宋体"/>
          <w:sz w:val="24"/>
          <w:szCs w:val="24"/>
          <w:lang w:bidi="ar"/>
        </w:rPr>
        <w:t>km</w:t>
      </w:r>
      <w:r>
        <w:rPr>
          <w:rFonts w:hint="eastAsia" w:ascii="宋体" w:hAnsi="宋体" w:cs="宋体"/>
          <w:sz w:val="24"/>
          <w:szCs w:val="24"/>
          <w:lang w:val="en-US" w:eastAsia="zh-CN" w:bidi="ar"/>
        </w:rPr>
        <w:t>之内</w:t>
      </w:r>
      <w:r>
        <w:rPr>
          <w:rFonts w:hint="eastAsia" w:ascii="宋体" w:hAnsi="宋体" w:cs="宋体"/>
          <w:sz w:val="24"/>
          <w:szCs w:val="24"/>
          <w:lang w:val="en-US" w:eastAsia="zh-CN"/>
        </w:rPr>
        <w:t>，</w:t>
      </w:r>
      <w:r>
        <w:rPr>
          <w:rFonts w:hint="eastAsia" w:ascii="宋体" w:hAnsi="宋体" w:cs="宋体"/>
          <w:sz w:val="24"/>
          <w:szCs w:val="24"/>
          <w:lang w:val="it-IT" w:eastAsia="zh-CN"/>
        </w:rPr>
        <w:t>通过试验车辆自行到加油站加油的方式进行供油。</w:t>
      </w:r>
      <w:r>
        <w:rPr>
          <w:rFonts w:hint="eastAsia" w:ascii="宋体" w:hAnsi="宋体" w:cs="宋体"/>
          <w:sz w:val="24"/>
          <w:szCs w:val="24"/>
          <w:lang w:val="en-US" w:eastAsia="zh-CN"/>
        </w:rPr>
        <w:t>投标方</w:t>
      </w:r>
      <w:r>
        <w:rPr>
          <w:rFonts w:hint="eastAsia" w:ascii="宋体" w:hAnsi="宋体" w:cs="宋体"/>
          <w:sz w:val="24"/>
          <w:szCs w:val="24"/>
          <w:lang w:val="it-IT" w:eastAsia="zh-CN"/>
        </w:rPr>
        <w:t>需提供相关加油计量设备，并提供检定合格证明。</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*3</w:t>
      </w:r>
      <w:r>
        <w:rPr>
          <w:rFonts w:hint="eastAsia" w:ascii="宋体" w:hAnsi="宋体" w:cs="宋体"/>
          <w:sz w:val="24"/>
          <w:szCs w:val="24"/>
          <w:lang w:val="it-IT" w:eastAsia="zh-CN"/>
        </w:rPr>
        <w:t xml:space="preserve"> 定价方式：可以根据国家规定的调价时间进行价格</w:t>
      </w:r>
      <w:r>
        <w:rPr>
          <w:rFonts w:hint="eastAsia" w:ascii="宋体" w:hAnsi="宋体" w:cs="宋体"/>
          <w:sz w:val="24"/>
          <w:szCs w:val="24"/>
          <w:lang w:val="en-US" w:eastAsia="zh-CN"/>
        </w:rPr>
        <w:t>浮动</w:t>
      </w:r>
      <w:r>
        <w:rPr>
          <w:rFonts w:hint="eastAsia" w:ascii="宋体" w:hAnsi="宋体" w:cs="宋体"/>
          <w:sz w:val="24"/>
          <w:szCs w:val="24"/>
          <w:lang w:val="it-IT" w:eastAsia="zh-CN"/>
        </w:rPr>
        <w:t>调整，但</w:t>
      </w:r>
      <w:r>
        <w:rPr>
          <w:rFonts w:hint="eastAsia" w:ascii="宋体" w:hAnsi="宋体" w:cs="宋体"/>
          <w:sz w:val="24"/>
          <w:szCs w:val="24"/>
          <w:lang w:val="en-US" w:eastAsia="zh-CN"/>
        </w:rPr>
        <w:t>给与招标方的</w:t>
      </w:r>
      <w:r>
        <w:rPr>
          <w:rFonts w:hint="eastAsia" w:ascii="宋体" w:hAnsi="宋体" w:cs="宋体"/>
          <w:sz w:val="24"/>
          <w:szCs w:val="24"/>
          <w:lang w:val="it-IT" w:eastAsia="zh-CN"/>
        </w:rPr>
        <w:t>优惠</w:t>
      </w:r>
      <w:r>
        <w:rPr>
          <w:rFonts w:hint="eastAsia" w:ascii="宋体" w:hAnsi="宋体" w:cs="宋体"/>
          <w:sz w:val="24"/>
          <w:szCs w:val="24"/>
          <w:lang w:val="en-US" w:eastAsia="zh-CN"/>
        </w:rPr>
        <w:t>需按合同正常</w:t>
      </w:r>
      <w:r>
        <w:rPr>
          <w:rFonts w:hint="eastAsia" w:ascii="宋体" w:hAnsi="宋体" w:cs="宋体"/>
          <w:sz w:val="24"/>
          <w:szCs w:val="24"/>
          <w:lang w:val="it-IT" w:eastAsia="zh-CN"/>
        </w:rPr>
        <w:t xml:space="preserve">执行。 </w:t>
      </w:r>
    </w:p>
    <w:p>
      <w:pPr>
        <w:pStyle w:val="80"/>
        <w:rPr>
          <w:rFonts w:hint="eastAsia" w:ascii="宋体" w:hAnsi="宋体" w:eastAsia="宋体" w:cs="宋体"/>
          <w:lang w:val="en-US" w:eastAsia="zh-CN"/>
        </w:rPr>
      </w:pPr>
      <w:r>
        <w:rPr>
          <w:rFonts w:hint="eastAsia" w:ascii="宋体" w:hAnsi="宋体" w:eastAsia="宋体" w:cs="宋体"/>
          <w:lang w:val="en-US" w:eastAsia="zh-CN"/>
        </w:rPr>
        <w:t>四、执行标准</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1、招标方所列标准仅为涉及的主要标准，而且不保证其为最新版执行标准；投标方应当在投标文件中认真予以填写、补充和修改完善。</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2、投标方需要执行的标准，应当采用所供货物通过买方组织的最终验收之日已经开始执行的最新标准。</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3、采购货物的产品质量、技术标准如在招投标文件中无相应说明，则按中华人民共和国有关部门颁发的最新的国标或专业（部）标准执行。</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4、采购货物没有国家或专业（部）标准的，按企业标准执行时，卖方应在合同签署之前，将所涉及的企业标准提供给买方确认。</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5、采购货物如果采用国际标准，其执行标准由投标方提供、招标方确认。</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6、采购货物所涉及的标准不统一时，原则上按照最严格标准执行。</w:t>
      </w:r>
      <w:bookmarkEnd w:id="24"/>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it-IT" w:eastAsia="zh-CN"/>
        </w:rPr>
        <w:t>7、涉及的主要标准表</w:t>
      </w:r>
      <w:r>
        <w:rPr>
          <w:rFonts w:hint="eastAsia" w:ascii="宋体" w:hAnsi="宋体" w:cs="宋体"/>
          <w:sz w:val="24"/>
          <w:szCs w:val="24"/>
          <w:lang w:val="en-US" w:eastAsia="zh-CN"/>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838"/>
        <w:gridCol w:w="242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序号</w:t>
            </w:r>
          </w:p>
        </w:tc>
        <w:tc>
          <w:tcPr>
            <w:tcW w:w="483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标准名称</w:t>
            </w:r>
          </w:p>
        </w:tc>
        <w:tc>
          <w:tcPr>
            <w:tcW w:w="2427"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标准编号</w:t>
            </w:r>
          </w:p>
        </w:tc>
        <w:tc>
          <w:tcPr>
            <w:tcW w:w="109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ascii="宋体" w:hAnsi="宋体" w:eastAsia="宋体" w:cs="Arial"/>
                <w:color w:val="000000"/>
              </w:rPr>
            </w:pPr>
            <w:r>
              <w:rPr>
                <w:rFonts w:hint="eastAsia" w:ascii="宋体" w:hAnsi="宋体" w:eastAsia="宋体" w:cs="Arial"/>
                <w:color w:val="000000"/>
              </w:rPr>
              <w:t>1</w:t>
            </w:r>
          </w:p>
        </w:tc>
        <w:tc>
          <w:tcPr>
            <w:tcW w:w="483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车用柴油</w:t>
            </w:r>
          </w:p>
        </w:tc>
        <w:tc>
          <w:tcPr>
            <w:tcW w:w="2427" w:type="dxa"/>
            <w:noWrap w:val="0"/>
            <w:vAlign w:val="center"/>
          </w:tcPr>
          <w:p>
            <w:pPr>
              <w:spacing w:line="240" w:lineRule="atLeast"/>
              <w:jc w:val="center"/>
              <w:rPr>
                <w:rFonts w:ascii="宋体" w:hAnsi="宋体" w:eastAsia="宋体" w:cs="Arial"/>
                <w:color w:val="000000"/>
                <w:szCs w:val="21"/>
              </w:rPr>
            </w:pPr>
            <w:r>
              <w:rPr>
                <w:rFonts w:hint="eastAsia" w:ascii="宋体" w:hAnsi="宋体" w:eastAsia="宋体"/>
                <w:color w:val="000000"/>
                <w:szCs w:val="21"/>
                <w:lang w:val="it-IT"/>
              </w:rPr>
              <w:t>GB</w:t>
            </w:r>
            <w:r>
              <w:rPr>
                <w:rFonts w:ascii="宋体" w:hAnsi="宋体" w:eastAsia="宋体"/>
                <w:color w:val="000000"/>
                <w:szCs w:val="21"/>
                <w:lang w:val="it-IT"/>
              </w:rPr>
              <w:t xml:space="preserve"> </w:t>
            </w:r>
            <w:r>
              <w:rPr>
                <w:rFonts w:hint="eastAsia" w:ascii="宋体" w:hAnsi="宋体" w:eastAsia="宋体"/>
                <w:color w:val="000000"/>
                <w:szCs w:val="21"/>
                <w:lang w:val="it-IT"/>
              </w:rPr>
              <w:t>19147-2016</w:t>
            </w:r>
          </w:p>
        </w:tc>
        <w:tc>
          <w:tcPr>
            <w:tcW w:w="1098" w:type="dxa"/>
            <w:noWrap w:val="0"/>
            <w:vAlign w:val="center"/>
          </w:tcPr>
          <w:p>
            <w:pPr>
              <w:spacing w:line="240" w:lineRule="atLeast"/>
              <w:jc w:val="center"/>
              <w:rPr>
                <w:rFonts w:ascii="宋体" w:hAnsi="宋体" w:eastAsia="宋体" w:cs="Arial"/>
                <w:bCs/>
                <w:color w:val="000000"/>
                <w:szCs w:val="21"/>
              </w:rPr>
            </w:pPr>
            <w:r>
              <w:rPr>
                <w:rFonts w:hint="eastAsia" w:ascii="宋体" w:hAnsi="宋体" w:cs="Arial"/>
                <w:bCs/>
                <w:color w:val="000000"/>
                <w:szCs w:val="21"/>
                <w:lang w:val="en-US" w:eastAsia="zh-CN"/>
              </w:rPr>
              <w:t>卖</w:t>
            </w:r>
            <w:r>
              <w:rPr>
                <w:rFonts w:hint="eastAsia" w:ascii="宋体" w:hAnsi="宋体" w:eastAsia="宋体" w:cs="Arial"/>
                <w:bCs/>
                <w:color w:val="000000"/>
                <w:szCs w:val="21"/>
              </w:rPr>
              <w:t>方确认</w:t>
            </w:r>
          </w:p>
        </w:tc>
      </w:tr>
    </w:tbl>
    <w:p>
      <w:pPr>
        <w:pStyle w:val="2"/>
        <w:jc w:val="both"/>
      </w:pPr>
    </w:p>
    <w:p>
      <w:pPr>
        <w:pStyle w:val="78"/>
        <w:rPr>
          <w:rFonts w:hint="eastAsia" w:ascii="宋体" w:hAnsi="宋体" w:eastAsia="宋体" w:cs="宋体"/>
          <w:lang w:bidi="ar"/>
        </w:rPr>
      </w:pPr>
      <w:r>
        <w:rPr>
          <w:rFonts w:ascii="Arial" w:hAnsi="Arial"/>
        </w:rPr>
        <w:br w:type="page"/>
      </w:r>
    </w:p>
    <w:p>
      <w:pPr>
        <w:pStyle w:val="58"/>
        <w:rPr>
          <w:rFonts w:hint="eastAsia" w:ascii="宋体" w:hAnsi="宋体" w:eastAsia="宋体" w:cs="宋体"/>
        </w:rPr>
      </w:pPr>
      <w:r>
        <w:rPr>
          <w:rFonts w:hint="eastAsia" w:ascii="宋体" w:hAnsi="宋体" w:eastAsia="宋体" w:cs="宋体"/>
        </w:rPr>
        <w:t>第三章  合同模板（以最终签订版本为准）</w:t>
      </w:r>
    </w:p>
    <w:p>
      <w:pPr>
        <w:ind w:right="-189" w:rightChars="-90"/>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 xml:space="preserve">                                            </w:t>
      </w:r>
    </w:p>
    <w:p>
      <w:pPr>
        <w:wordWrap w:val="0"/>
        <w:adjustRightInd w:val="0"/>
        <w:snapToGrid w:val="0"/>
        <w:spacing w:line="360" w:lineRule="auto"/>
        <w:jc w:val="right"/>
        <w:rPr>
          <w:rFonts w:hint="eastAsia" w:ascii="宋体" w:hAnsi="宋体" w:eastAsia="宋体" w:cs="宋体"/>
          <w:b/>
          <w:sz w:val="24"/>
          <w:szCs w:val="24"/>
        </w:rPr>
      </w:pPr>
      <w:r>
        <w:rPr>
          <w:rFonts w:hint="eastAsia" w:ascii="宋体" w:hAnsi="宋体" w:eastAsia="宋体" w:cs="宋体"/>
          <w:b/>
          <w:sz w:val="24"/>
          <w:szCs w:val="24"/>
        </w:rPr>
        <w:t>编号：</w:t>
      </w:r>
      <w:r>
        <w:rPr>
          <w:rFonts w:hint="eastAsia" w:ascii="宋体" w:hAnsi="宋体" w:eastAsia="宋体" w:cs="宋体"/>
          <w:b/>
          <w:sz w:val="24"/>
          <w:szCs w:val="24"/>
          <w:u w:val="thick"/>
        </w:rPr>
        <w:t xml:space="preserve">                  </w:t>
      </w:r>
    </w:p>
    <w:p>
      <w:pPr>
        <w:adjustRightInd w:val="0"/>
        <w:snapToGrid w:val="0"/>
        <w:spacing w:line="360" w:lineRule="auto"/>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p>
    <w:p>
      <w:pPr>
        <w:adjustRightInd w:val="0"/>
        <w:snapToGrid w:val="0"/>
        <w:spacing w:line="360" w:lineRule="auto"/>
        <w:jc w:val="center"/>
        <w:rPr>
          <w:rFonts w:hint="eastAsia" w:ascii="宋体" w:hAnsi="宋体" w:eastAsia="宋体" w:cs="宋体"/>
          <w:b/>
          <w:sz w:val="24"/>
          <w:szCs w:val="24"/>
        </w:rPr>
      </w:pPr>
      <w:r>
        <w:rPr>
          <w:rFonts w:hint="eastAsia" w:ascii="黑体" w:hAnsi="宋体" w:eastAsia="黑体"/>
          <w:color w:val="000000"/>
          <w:spacing w:val="16"/>
          <w:kern w:val="2"/>
          <w:sz w:val="72"/>
          <w:lang w:val="en-US" w:eastAsia="zh-CN"/>
        </w:rPr>
        <w:t>柴油</w:t>
      </w:r>
      <w:r>
        <w:rPr>
          <w:rFonts w:hint="eastAsia" w:ascii="黑体" w:hAnsi="宋体" w:eastAsia="黑体"/>
          <w:color w:val="000000"/>
          <w:spacing w:val="16"/>
          <w:kern w:val="2"/>
          <w:sz w:val="72"/>
        </w:rPr>
        <w:t>采购合同</w:t>
      </w: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ind w:firstLine="1629" w:firstLineChars="678"/>
        <w:jc w:val="left"/>
        <w:rPr>
          <w:rFonts w:hint="eastAsia" w:ascii="宋体" w:hAnsi="宋体" w:eastAsia="宋体" w:cs="宋体"/>
          <w:b/>
          <w:sz w:val="24"/>
          <w:szCs w:val="24"/>
        </w:rPr>
      </w:pPr>
      <w:r>
        <w:rPr>
          <w:rFonts w:hint="eastAsia" w:ascii="宋体" w:hAnsi="宋体" w:eastAsia="宋体" w:cs="宋体"/>
          <w:b/>
          <w:sz w:val="24"/>
          <w:szCs w:val="24"/>
        </w:rPr>
        <w:t>甲  方：</w:t>
      </w:r>
      <w:r>
        <w:rPr>
          <w:rFonts w:hint="eastAsia" w:ascii="宋体" w:hAnsi="宋体" w:eastAsia="宋体" w:cs="宋体"/>
          <w:b/>
          <w:sz w:val="24"/>
          <w:szCs w:val="24"/>
          <w:u w:val="thick"/>
        </w:rPr>
        <w:t xml:space="preserve">                           </w:t>
      </w:r>
    </w:p>
    <w:p>
      <w:pPr>
        <w:adjustRightInd w:val="0"/>
        <w:snapToGrid w:val="0"/>
        <w:spacing w:line="360" w:lineRule="auto"/>
        <w:ind w:firstLine="1629" w:firstLineChars="678"/>
        <w:jc w:val="left"/>
        <w:rPr>
          <w:rFonts w:hint="eastAsia" w:ascii="宋体" w:hAnsi="宋体" w:eastAsia="宋体" w:cs="宋体"/>
          <w:b/>
          <w:sz w:val="24"/>
          <w:szCs w:val="24"/>
        </w:rPr>
      </w:pPr>
    </w:p>
    <w:p>
      <w:pPr>
        <w:adjustRightInd w:val="0"/>
        <w:snapToGrid w:val="0"/>
        <w:spacing w:line="360" w:lineRule="auto"/>
        <w:ind w:firstLine="1629" w:firstLineChars="678"/>
        <w:jc w:val="left"/>
        <w:rPr>
          <w:rFonts w:hint="eastAsia" w:ascii="宋体" w:hAnsi="宋体" w:eastAsia="宋体" w:cs="宋体"/>
          <w:b/>
          <w:sz w:val="24"/>
          <w:szCs w:val="24"/>
        </w:rPr>
      </w:pPr>
      <w:r>
        <w:rPr>
          <w:rFonts w:hint="eastAsia" w:ascii="宋体" w:hAnsi="宋体" w:eastAsia="宋体" w:cs="宋体"/>
          <w:b/>
          <w:sz w:val="24"/>
          <w:szCs w:val="24"/>
        </w:rPr>
        <w:t>乙  方：</w:t>
      </w:r>
      <w:r>
        <w:rPr>
          <w:rFonts w:hint="eastAsia" w:ascii="宋体" w:hAnsi="宋体" w:eastAsia="宋体" w:cs="宋体"/>
          <w:b/>
          <w:sz w:val="24"/>
          <w:szCs w:val="24"/>
          <w:u w:val="thick"/>
        </w:rPr>
        <w:t xml:space="preserve">                           </w:t>
      </w:r>
    </w:p>
    <w:p>
      <w:pPr>
        <w:adjustRightInd w:val="0"/>
        <w:snapToGrid w:val="0"/>
        <w:spacing w:line="360" w:lineRule="auto"/>
        <w:ind w:firstLine="1629" w:firstLineChars="678"/>
        <w:jc w:val="left"/>
        <w:rPr>
          <w:rFonts w:hint="eastAsia" w:ascii="宋体" w:hAnsi="宋体" w:eastAsia="宋体" w:cs="宋体"/>
          <w:b/>
          <w:sz w:val="24"/>
          <w:szCs w:val="24"/>
        </w:rPr>
      </w:pPr>
    </w:p>
    <w:p>
      <w:pPr>
        <w:adjustRightInd w:val="0"/>
        <w:snapToGrid w:val="0"/>
        <w:spacing w:line="360" w:lineRule="auto"/>
        <w:ind w:firstLine="1629" w:firstLineChars="678"/>
        <w:jc w:val="left"/>
        <w:rPr>
          <w:rFonts w:hint="eastAsia" w:ascii="宋体" w:hAnsi="宋体" w:eastAsia="宋体" w:cs="宋体"/>
          <w:b/>
          <w:sz w:val="24"/>
          <w:szCs w:val="24"/>
          <w:u w:val="thick"/>
        </w:rPr>
      </w:pPr>
      <w:r>
        <w:rPr>
          <w:rFonts w:hint="eastAsia" w:ascii="宋体" w:hAnsi="宋体" w:eastAsia="宋体" w:cs="宋体"/>
          <w:b/>
          <w:sz w:val="24"/>
          <w:szCs w:val="24"/>
        </w:rPr>
        <w:t>签订日期：</w:t>
      </w:r>
      <w:r>
        <w:rPr>
          <w:rFonts w:hint="eastAsia" w:ascii="宋体" w:hAnsi="宋体" w:eastAsia="宋体" w:cs="宋体"/>
          <w:b/>
          <w:sz w:val="24"/>
          <w:szCs w:val="24"/>
          <w:u w:val="thick"/>
        </w:rPr>
        <w:t xml:space="preserve">       </w:t>
      </w:r>
      <w:r>
        <w:rPr>
          <w:rFonts w:hint="eastAsia" w:ascii="宋体" w:hAnsi="宋体" w:eastAsia="宋体" w:cs="宋体"/>
          <w:b/>
          <w:sz w:val="24"/>
          <w:szCs w:val="24"/>
        </w:rPr>
        <w:t>年</w:t>
      </w:r>
      <w:r>
        <w:rPr>
          <w:rFonts w:hint="eastAsia" w:ascii="宋体" w:hAnsi="宋体" w:eastAsia="宋体" w:cs="宋体"/>
          <w:b/>
          <w:sz w:val="24"/>
          <w:szCs w:val="24"/>
          <w:u w:val="thick"/>
        </w:rPr>
        <w:t xml:space="preserve">      </w:t>
      </w:r>
      <w:r>
        <w:rPr>
          <w:rFonts w:hint="eastAsia" w:ascii="宋体" w:hAnsi="宋体" w:eastAsia="宋体" w:cs="宋体"/>
          <w:b/>
          <w:sz w:val="24"/>
          <w:szCs w:val="24"/>
        </w:rPr>
        <w:t>月</w:t>
      </w:r>
      <w:r>
        <w:rPr>
          <w:rFonts w:hint="eastAsia" w:ascii="宋体" w:hAnsi="宋体" w:eastAsia="宋体" w:cs="宋体"/>
          <w:b/>
          <w:sz w:val="24"/>
          <w:szCs w:val="24"/>
          <w:u w:val="thick"/>
        </w:rPr>
        <w:t xml:space="preserve">       </w:t>
      </w:r>
    </w:p>
    <w:p>
      <w:pPr>
        <w:pStyle w:val="4"/>
        <w:rPr>
          <w:rFonts w:hint="eastAsia" w:ascii="宋体" w:hAnsi="宋体" w:eastAsia="宋体" w:cs="宋体"/>
          <w:b/>
          <w:sz w:val="24"/>
          <w:szCs w:val="24"/>
          <w:u w:val="thick"/>
        </w:rPr>
      </w:pPr>
    </w:p>
    <w:p>
      <w:pPr>
        <w:rPr>
          <w:rFonts w:hint="eastAsia" w:ascii="宋体" w:hAnsi="宋体" w:eastAsia="宋体" w:cs="宋体"/>
          <w:b/>
          <w:sz w:val="24"/>
          <w:szCs w:val="24"/>
          <w:u w:val="thick"/>
        </w:rPr>
      </w:pPr>
    </w:p>
    <w:p>
      <w:pPr>
        <w:pStyle w:val="4"/>
        <w:rPr>
          <w:rFonts w:hint="eastAsia" w:ascii="宋体" w:hAnsi="宋体" w:eastAsia="宋体" w:cs="宋体"/>
          <w:b/>
          <w:sz w:val="24"/>
          <w:szCs w:val="24"/>
          <w:u w:val="thick"/>
        </w:rPr>
      </w:pPr>
    </w:p>
    <w:p>
      <w:pPr>
        <w:rPr>
          <w:rFonts w:hint="eastAsia" w:ascii="宋体" w:hAnsi="宋体" w:eastAsia="宋体" w:cs="宋体"/>
          <w:b/>
          <w:sz w:val="24"/>
          <w:szCs w:val="24"/>
          <w:u w:val="thick"/>
        </w:rPr>
      </w:pPr>
    </w:p>
    <w:p/>
    <w:p/>
    <w:p/>
    <w:p>
      <w:pPr>
        <w:pStyle w:val="166"/>
        <w:spacing w:line="360" w:lineRule="auto"/>
        <w:jc w:val="center"/>
        <w:rPr>
          <w:rFonts w:hint="eastAsia" w:ascii="楷体_GB2312" w:eastAsia="楷体_GB2312"/>
          <w:b/>
          <w:spacing w:val="16"/>
          <w:sz w:val="28"/>
        </w:rPr>
      </w:pPr>
    </w:p>
    <w:p>
      <w:pPr>
        <w:pStyle w:val="166"/>
        <w:spacing w:line="360" w:lineRule="auto"/>
        <w:jc w:val="center"/>
        <w:rPr>
          <w:rFonts w:ascii="楷体_GB2312" w:eastAsia="楷体_GB2312"/>
          <w:b/>
          <w:spacing w:val="16"/>
          <w:sz w:val="28"/>
        </w:rPr>
      </w:pPr>
      <w:r>
        <w:rPr>
          <w:rFonts w:hint="eastAsia" w:ascii="楷体_GB2312" w:eastAsia="楷体_GB2312"/>
          <w:b/>
          <w:spacing w:val="16"/>
          <w:sz w:val="28"/>
        </w:rPr>
        <w:t>合同签订注意事项</w:t>
      </w:r>
    </w:p>
    <w:p>
      <w:pPr>
        <w:pStyle w:val="166"/>
        <w:spacing w:line="360" w:lineRule="auto"/>
        <w:ind w:firstLine="540"/>
        <w:rPr>
          <w:rFonts w:ascii="仿宋_GB2312" w:eastAsia="仿宋_GB2312"/>
          <w:spacing w:val="16"/>
        </w:rPr>
      </w:pPr>
      <w:r>
        <w:rPr>
          <w:rFonts w:hint="eastAsia" w:ascii="仿宋_GB2312" w:eastAsia="仿宋_GB2312"/>
          <w:spacing w:val="16"/>
        </w:rPr>
        <w:t>一、甲</w:t>
      </w:r>
      <w:r>
        <w:rPr>
          <w:rFonts w:ascii="仿宋_GB2312" w:eastAsia="仿宋_GB2312"/>
          <w:spacing w:val="16"/>
        </w:rPr>
        <w:t>乙</w:t>
      </w:r>
      <w:r>
        <w:rPr>
          <w:rFonts w:hint="eastAsia" w:ascii="仿宋_GB2312" w:eastAsia="仿宋_GB2312"/>
          <w:spacing w:val="16"/>
        </w:rPr>
        <w:t>双</w:t>
      </w:r>
      <w:r>
        <w:rPr>
          <w:rFonts w:ascii="仿宋_GB2312" w:eastAsia="仿宋_GB2312"/>
          <w:spacing w:val="16"/>
        </w:rPr>
        <w:t>方</w:t>
      </w:r>
      <w:r>
        <w:rPr>
          <w:rFonts w:hint="eastAsia" w:ascii="仿宋_GB2312" w:eastAsia="仿宋_GB2312"/>
          <w:spacing w:val="16"/>
        </w:rPr>
        <w:t>应保证向对方提供的与履行合同有关的各项信息真实、有效。</w:t>
      </w:r>
    </w:p>
    <w:p>
      <w:pPr>
        <w:pStyle w:val="166"/>
        <w:spacing w:line="360" w:lineRule="auto"/>
        <w:ind w:firstLine="540"/>
        <w:rPr>
          <w:rFonts w:ascii="仿宋_GB2312" w:eastAsia="仿宋_GB2312"/>
          <w:spacing w:val="16"/>
        </w:rPr>
      </w:pPr>
      <w:r>
        <w:rPr>
          <w:rFonts w:hint="eastAsia" w:ascii="仿宋_GB2312" w:eastAsia="仿宋_GB2312"/>
          <w:spacing w:val="16"/>
        </w:rPr>
        <w:t>二、甲</w:t>
      </w:r>
      <w:r>
        <w:rPr>
          <w:rFonts w:ascii="仿宋_GB2312" w:eastAsia="仿宋_GB2312"/>
          <w:spacing w:val="16"/>
        </w:rPr>
        <w:t>乙</w:t>
      </w:r>
      <w:r>
        <w:rPr>
          <w:rFonts w:hint="eastAsia" w:ascii="仿宋_GB2312" w:eastAsia="仿宋_GB2312"/>
          <w:spacing w:val="16"/>
        </w:rPr>
        <w:t>双</w:t>
      </w:r>
      <w:r>
        <w:rPr>
          <w:rFonts w:ascii="仿宋_GB2312" w:eastAsia="仿宋_GB2312"/>
          <w:spacing w:val="16"/>
        </w:rPr>
        <w:t>方</w:t>
      </w:r>
      <w:r>
        <w:rPr>
          <w:rFonts w:hint="eastAsia" w:ascii="仿宋_GB2312" w:eastAsia="仿宋_GB2312"/>
          <w:spacing w:val="16"/>
        </w:rPr>
        <w:t>签订本合同书时，凡需要双方协商约定的内容，经双方协商一致后填写在相应的空格内。</w:t>
      </w:r>
    </w:p>
    <w:p>
      <w:pPr>
        <w:pStyle w:val="166"/>
        <w:spacing w:line="360" w:lineRule="auto"/>
        <w:ind w:firstLine="540"/>
        <w:rPr>
          <w:rFonts w:ascii="仿宋_GB2312" w:eastAsia="仿宋_GB2312"/>
          <w:spacing w:val="16"/>
        </w:rPr>
      </w:pPr>
      <w:r>
        <w:rPr>
          <w:rFonts w:hint="eastAsia" w:ascii="仿宋_GB2312" w:eastAsia="仿宋_GB2312"/>
          <w:spacing w:val="16"/>
        </w:rPr>
        <w:t>三、签订本合同书时，甲</w:t>
      </w:r>
      <w:r>
        <w:rPr>
          <w:rFonts w:ascii="仿宋_GB2312" w:eastAsia="仿宋_GB2312"/>
          <w:spacing w:val="16"/>
        </w:rPr>
        <w:t>方</w:t>
      </w:r>
      <w:r>
        <w:rPr>
          <w:rFonts w:hint="eastAsia" w:ascii="仿宋_GB2312" w:eastAsia="仿宋_GB2312"/>
          <w:spacing w:val="16"/>
        </w:rPr>
        <w:t>应加盖公章；法定代表人或主要负责人应本人签字或盖章；</w:t>
      </w:r>
      <w:r>
        <w:rPr>
          <w:rFonts w:ascii="仿宋_GB2312" w:eastAsia="仿宋_GB2312"/>
          <w:spacing w:val="16"/>
        </w:rPr>
        <w:t>乙方</w:t>
      </w:r>
      <w:r>
        <w:rPr>
          <w:rFonts w:hint="eastAsia" w:ascii="仿宋_GB2312" w:eastAsia="仿宋_GB2312"/>
          <w:spacing w:val="16"/>
        </w:rPr>
        <w:t>应加盖公章；法定代表人或主要负责人应本人签字或盖章。</w:t>
      </w:r>
    </w:p>
    <w:p>
      <w:pPr>
        <w:pStyle w:val="166"/>
        <w:spacing w:line="360" w:lineRule="auto"/>
        <w:ind w:firstLine="540"/>
        <w:rPr>
          <w:rFonts w:ascii="仿宋_GB2312" w:eastAsia="仿宋_GB2312"/>
          <w:spacing w:val="16"/>
        </w:rPr>
      </w:pPr>
      <w:r>
        <w:rPr>
          <w:rFonts w:hint="eastAsia" w:ascii="仿宋_GB2312" w:eastAsia="仿宋_GB2312"/>
          <w:spacing w:val="16"/>
        </w:rPr>
        <w:t>四、甲</w:t>
      </w:r>
      <w:r>
        <w:rPr>
          <w:rFonts w:ascii="仿宋_GB2312" w:eastAsia="仿宋_GB2312"/>
          <w:spacing w:val="16"/>
        </w:rPr>
        <w:t>乙</w:t>
      </w:r>
      <w:r>
        <w:rPr>
          <w:rFonts w:hint="eastAsia" w:ascii="仿宋_GB2312" w:eastAsia="仿宋_GB2312"/>
          <w:spacing w:val="16"/>
        </w:rPr>
        <w:t>双</w:t>
      </w:r>
      <w:r>
        <w:rPr>
          <w:rFonts w:ascii="仿宋_GB2312" w:eastAsia="仿宋_GB2312"/>
          <w:spacing w:val="16"/>
        </w:rPr>
        <w:t>方</w:t>
      </w:r>
      <w:r>
        <w:rPr>
          <w:rFonts w:hint="eastAsia" w:ascii="仿宋_GB2312" w:eastAsia="仿宋_GB2312"/>
          <w:spacing w:val="16"/>
        </w:rPr>
        <w:t>约定的其他内容，合同的变更等内容在本合同内填写不下时，可另附纸。</w:t>
      </w:r>
    </w:p>
    <w:p>
      <w:pPr>
        <w:pStyle w:val="166"/>
        <w:spacing w:line="360" w:lineRule="auto"/>
        <w:ind w:firstLine="540"/>
        <w:rPr>
          <w:rFonts w:ascii="仿宋_GB2312" w:eastAsia="仿宋_GB2312"/>
          <w:spacing w:val="16"/>
        </w:rPr>
      </w:pPr>
      <w:r>
        <w:rPr>
          <w:rFonts w:hint="eastAsia" w:ascii="仿宋_GB2312" w:eastAsia="仿宋_GB2312"/>
          <w:spacing w:val="16"/>
        </w:rPr>
        <w:t>五、本合同应使钢笔或签字笔填写，字迹清楚，文字简练、准确，不得涂改。</w:t>
      </w:r>
    </w:p>
    <w:p>
      <w:pPr>
        <w:pStyle w:val="166"/>
        <w:spacing w:beforeAutospacing="0" w:afterAutospacing="0" w:line="560" w:lineRule="exact"/>
        <w:rPr>
          <w:rFonts w:ascii="仿宋_GB2312" w:eastAsia="仿宋_GB2312"/>
          <w:spacing w:val="16"/>
        </w:rPr>
      </w:pPr>
    </w:p>
    <w:p>
      <w:pPr>
        <w:pStyle w:val="166"/>
        <w:spacing w:beforeAutospacing="0" w:afterAutospacing="0" w:line="560" w:lineRule="exact"/>
        <w:rPr>
          <w:rFonts w:ascii="仿宋_GB2312" w:eastAsia="仿宋_GB2312"/>
          <w:spacing w:val="16"/>
        </w:rPr>
      </w:pPr>
    </w:p>
    <w:p>
      <w:pPr>
        <w:pStyle w:val="166"/>
        <w:spacing w:beforeAutospacing="0" w:afterAutospacing="0" w:line="560" w:lineRule="exact"/>
        <w:rPr>
          <w:rFonts w:ascii="仿宋_GB2312" w:eastAsia="仿宋_GB2312"/>
          <w:spacing w:val="16"/>
        </w:rPr>
      </w:pPr>
    </w:p>
    <w:p>
      <w:pPr>
        <w:pStyle w:val="166"/>
        <w:spacing w:beforeAutospacing="0" w:afterAutospacing="0" w:line="560" w:lineRule="exact"/>
        <w:rPr>
          <w:rFonts w:ascii="仿宋_GB2312" w:eastAsia="仿宋_GB2312"/>
          <w:spacing w:val="16"/>
        </w:rPr>
      </w:pPr>
    </w:p>
    <w:p>
      <w:pPr>
        <w:pStyle w:val="166"/>
        <w:spacing w:beforeAutospacing="0" w:afterAutospacing="0" w:line="560" w:lineRule="exact"/>
        <w:rPr>
          <w:rFonts w:ascii="仿宋_GB2312" w:eastAsia="仿宋_GB2312"/>
          <w:spacing w:val="16"/>
        </w:rPr>
      </w:pPr>
    </w:p>
    <w:p>
      <w:pPr>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rPr>
      </w:pPr>
    </w:p>
    <w:p>
      <w:pPr>
        <w:widowControl/>
        <w:wordWrap w:val="0"/>
        <w:spacing w:line="336" w:lineRule="auto"/>
        <w:jc w:val="left"/>
        <w:rPr>
          <w:rFonts w:hint="eastAsia" w:ascii="仿宋" w:hAnsi="仿宋" w:eastAsia="仿宋" w:cs="仿宋"/>
          <w:sz w:val="30"/>
          <w:szCs w:val="30"/>
        </w:rPr>
      </w:pPr>
      <w:r>
        <w:rPr>
          <w:rFonts w:hint="eastAsia" w:ascii="仿宋" w:hAnsi="仿宋" w:eastAsia="仿宋" w:cs="仿宋"/>
          <w:sz w:val="30"/>
          <w:szCs w:val="30"/>
        </w:rPr>
        <w:t xml:space="preserve">甲方 (购方): </w:t>
      </w:r>
      <w:r>
        <w:rPr>
          <w:rFonts w:hint="eastAsia" w:ascii="仿宋" w:hAnsi="仿宋" w:eastAsia="仿宋" w:cs="仿宋"/>
          <w:sz w:val="30"/>
          <w:szCs w:val="30"/>
          <w:u w:val="single"/>
        </w:rPr>
        <w:t xml:space="preserve">中国重汽集团济南动力有限公司          </w:t>
      </w:r>
    </w:p>
    <w:p>
      <w:pPr>
        <w:widowControl/>
        <w:wordWrap w:val="0"/>
        <w:spacing w:line="336" w:lineRule="auto"/>
        <w:jc w:val="left"/>
        <w:rPr>
          <w:rFonts w:hint="eastAsia" w:ascii="仿宋" w:hAnsi="仿宋" w:eastAsia="仿宋" w:cs="仿宋"/>
          <w:sz w:val="30"/>
          <w:szCs w:val="30"/>
        </w:rPr>
      </w:pPr>
      <w:r>
        <w:rPr>
          <w:rFonts w:hint="eastAsia" w:ascii="仿宋" w:hAnsi="仿宋" w:eastAsia="仿宋" w:cs="仿宋"/>
          <w:sz w:val="30"/>
          <w:szCs w:val="30"/>
        </w:rPr>
        <w:t xml:space="preserve">乙方 (供方): </w:t>
      </w:r>
      <w:r>
        <w:rPr>
          <w:rFonts w:hint="eastAsia" w:ascii="仿宋" w:hAnsi="仿宋" w:eastAsia="仿宋" w:cs="仿宋"/>
          <w:sz w:val="30"/>
          <w:szCs w:val="30"/>
          <w:u w:val="single"/>
        </w:rPr>
        <w:t xml:space="preserve">                                      </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根据《中华人民共和国民法典》及相关法律规定，本着平等、互利等价有偿的原则，经双方协商一致，订立本合同。</w:t>
      </w:r>
    </w:p>
    <w:p>
      <w:pPr>
        <w:keepNext w:val="0"/>
        <w:keepLines w:val="0"/>
        <w:pageBreakBefore w:val="0"/>
        <w:widowControl/>
        <w:numPr>
          <w:ilvl w:val="0"/>
          <w:numId w:val="8"/>
        </w:numPr>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 xml:space="preserve">本合同履行地点: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keepNext w:val="0"/>
        <w:keepLines w:val="0"/>
        <w:pageBreakBefore w:val="0"/>
        <w:widowControl/>
        <w:numPr>
          <w:ilvl w:val="0"/>
          <w:numId w:val="8"/>
        </w:numPr>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标的物 (下称油品):车用0#柴油。</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三、质量:本合同油品需符合 GB 19147-2016车用柴油(国VI)技术要求，并定期提供相关证明材料。</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四、单价:0#柴油比</w:t>
      </w:r>
      <w:r>
        <w:rPr>
          <w:rFonts w:hint="eastAsia" w:ascii="仿宋" w:hAnsi="仿宋" w:eastAsia="仿宋" w:cs="仿宋"/>
          <w:sz w:val="30"/>
          <w:szCs w:val="30"/>
          <w:lang w:val="en-US" w:eastAsia="zh-CN"/>
        </w:rPr>
        <w:t>政府指导</w:t>
      </w:r>
      <w:r>
        <w:rPr>
          <w:rFonts w:hint="eastAsia" w:ascii="仿宋" w:hAnsi="仿宋" w:eastAsia="仿宋" w:cs="仿宋"/>
          <w:sz w:val="30"/>
          <w:szCs w:val="30"/>
        </w:rPr>
        <w:t>价优惠</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元/L，乙方可以根据国家发改委等政府部门规定的柴油调价时间对价格进行同步调整，但仍按本条执行优惠。</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2"/>
          <w:sz w:val="30"/>
          <w:szCs w:val="30"/>
          <w:lang w:val="en-US" w:eastAsia="zh-CN" w:bidi="ar-SA"/>
        </w:rPr>
        <w:t>五、金额:按每月实际加油金额。</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六、货款结算方式:乙方与甲方签订合同，办理加油卡。由甲方指定管理使用人员按照甲方财务制度进行预算上报请款，并通过公对公转账将申请款项打到乙方公司账户，圈存到办理的加油卡上进行使用。加油卡余额使用完后，乙方提供相应的加油明细，经甲方指定管理使用人员确认无误后，乙方开具金额为实际消费金额100%的增值税专用发票(含复印件二份)。</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双方遵守与本合同有关的中国税法。本合同履行中，在中国境外发生的所有税款应由乙方承担。在中国境内发生的所有税款应由甲方承担。对于原产地为欧洲的产品加征的关税由最终用户自行承担。具体开票信息详见下述发票信息。</w:t>
      </w:r>
    </w:p>
    <w:p>
      <w:pPr>
        <w:pStyle w:val="2"/>
        <w:rPr>
          <w:rFonts w:hint="eastAsia"/>
          <w:lang w:val="en-US" w:eastAsia="zh-CN"/>
        </w:rPr>
      </w:pPr>
    </w:p>
    <w:p>
      <w:pPr>
        <w:pStyle w:val="2"/>
        <w:rPr>
          <w:rFonts w:hint="eastAsia"/>
          <w:lang w:val="en-US" w:eastAsia="zh-CN"/>
        </w:rPr>
      </w:pPr>
    </w:p>
    <w:p>
      <w:pPr>
        <w:widowControl/>
        <w:wordWrap w:val="0"/>
        <w:spacing w:line="336" w:lineRule="auto"/>
        <w:jc w:val="left"/>
        <w:rPr>
          <w:rFonts w:hint="eastAsia" w:ascii="仿宋" w:hAnsi="仿宋" w:eastAsia="仿宋" w:cs="仿宋"/>
          <w:sz w:val="30"/>
          <w:szCs w:val="30"/>
          <w:lang w:val="en-US" w:eastAsia="zh-CN"/>
        </w:rPr>
      </w:pP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甲方增值税专用发票信息如下:</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单位名称:中国重汽集团济南动力有限公司</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税号:91370100787411873C</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地址:章丘市圣井唐王山路北潘王路西</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电话:0531-58062198</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开户行:中国银行章丘支行</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账号:237705574474</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乙方对公收款账户信息如下:</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收款人 (乙方) 账户:</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收款人 (乙方) 开户行: </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收款人(乙方)账号:</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七、履行期限:</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 xml:space="preserve"> 年。自</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 xml:space="preserve"> 年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月</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日起至</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 xml:space="preserve"> 年</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月</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 xml:space="preserve"> 日止。</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八、双方权利义务:</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乙方:</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宋体" w:hAnsi="宋体" w:eastAsia="宋体" w:cs="宋体"/>
          <w:b/>
          <w:sz w:val="24"/>
          <w:szCs w:val="24"/>
          <w:u w:val="thick"/>
        </w:rPr>
      </w:pPr>
      <w:r>
        <w:rPr>
          <w:rFonts w:hint="eastAsia" w:ascii="仿宋" w:hAnsi="仿宋" w:eastAsia="仿宋" w:cs="仿宋"/>
          <w:sz w:val="30"/>
          <w:szCs w:val="30"/>
          <w:lang w:val="en-US" w:eastAsia="zh-CN"/>
        </w:rPr>
        <w:t>1.乙方应按时为甲方提供满足使用要求的合格柴油。</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2.乙方加油站应优先满足甲方试验车辆的加油需要，并能满足3辆及以上试验车同时加油的需要(但遇国家整体供应调控造成无法保供情形除外)。</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乙方应按其向甲方所承诺的提供以下服务:1)提供车辆每日、每月的单车和全部车辆汇总的数据（加油量及费用）统计，并体现每次加油对外市场价和对招标方的优惠价。2)加油功能锁止。油卡功能只保留加油项目，不开放购买其他物品功能。</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4.乙方可以根据国家发改委等政府部门规定的成品油调价时间对价格进行同步调整，但单价优惠幅度不得低于合同第四条的约定。</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甲方:</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1.甲方应依据其财务制度及时通过公对公账户对其所用加油卡进行充值。</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2.甲方可以随时对乙方所供柴油进行抽样检测。</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3.甲方有权根据本合同约定的条件(包括但不限于由于乙方产品不合格、出现不可抗力等情况时)，解除与乙方合同。但必须提前至少 15 天以书面形式告知乙方，履行合同解除手续。</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九、违约责任:</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乙方交付的油品不符合合同的约定(包括但不限于质量、数量)，第一次罚款5000元，并赔偿由于所供油品质量问题对甲方试验车辆造成的损失;第二次不符合，则暂停柴油供应。</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十、不可抗力:</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由于不可抗力及其它不可预见、不可避免、不可克服的事件，导致不能完全或部分履行本合同义务，受不可抗力影响的乙方或双方不承担违约责任。</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十一、争议解决:</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因本合同发生争议，双方协商解决。协议不成，在甲方所在地法院诉讼解决。</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十二、效力及其它 :</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1、本合同自双方签字并盖章之日起生效</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2、本合同未尽事宜双方可签订补充协议，补充协议与本协议具有同等的法律效力。本协议所有附件均为本协议的组成部分，具有同等法律效力。</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3、本合同一式四份，双方各持两份</w:t>
      </w:r>
    </w:p>
    <w:p>
      <w:pPr>
        <w:pStyle w:val="4"/>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widowControl/>
        <w:wordWrap w:val="0"/>
        <w:spacing w:line="336" w:lineRule="auto"/>
        <w:jc w:val="left"/>
        <w:rPr>
          <w:rFonts w:ascii="等线 Light" w:hAnsi="等线 Light" w:eastAsia="等线 Light" w:cs="等线 Light"/>
          <w:sz w:val="30"/>
          <w:szCs w:val="30"/>
        </w:rPr>
      </w:pPr>
    </w:p>
    <w:p>
      <w:pPr>
        <w:widowControl/>
        <w:wordWrap w:val="0"/>
        <w:spacing w:line="336" w:lineRule="auto"/>
        <w:jc w:val="left"/>
        <w:rPr>
          <w:rFonts w:ascii="等线 Light" w:hAnsi="等线 Light" w:eastAsia="等线 Light" w:cs="等线 Light"/>
          <w:sz w:val="30"/>
          <w:szCs w:val="30"/>
        </w:rPr>
      </w:pPr>
    </w:p>
    <w:p>
      <w:pPr>
        <w:widowControl/>
        <w:wordWrap w:val="0"/>
        <w:spacing w:line="336" w:lineRule="auto"/>
        <w:jc w:val="left"/>
        <w:rPr>
          <w:rFonts w:hint="eastAsia" w:ascii="仿宋" w:hAnsi="仿宋" w:eastAsia="仿宋" w:cs="仿宋"/>
          <w:sz w:val="30"/>
          <w:szCs w:val="30"/>
        </w:rPr>
      </w:pPr>
      <w:r>
        <w:rPr>
          <w:rFonts w:hint="eastAsia" w:ascii="仿宋" w:hAnsi="仿宋" w:eastAsia="仿宋" w:cs="仿宋"/>
          <w:sz w:val="30"/>
          <w:szCs w:val="30"/>
        </w:rPr>
        <w:t>甲方（盖章） ：                   乙方（盖章） ：</w:t>
      </w:r>
    </w:p>
    <w:p>
      <w:pPr>
        <w:widowControl/>
        <w:wordWrap w:val="0"/>
        <w:spacing w:line="336" w:lineRule="auto"/>
        <w:jc w:val="left"/>
        <w:rPr>
          <w:rFonts w:hint="eastAsia" w:ascii="仿宋" w:hAnsi="仿宋" w:eastAsia="仿宋" w:cs="仿宋"/>
          <w:sz w:val="30"/>
          <w:szCs w:val="30"/>
        </w:rPr>
      </w:pPr>
      <w:r>
        <w:rPr>
          <w:rFonts w:hint="eastAsia" w:ascii="仿宋" w:hAnsi="仿宋" w:eastAsia="仿宋" w:cs="仿宋"/>
          <w:sz w:val="30"/>
          <w:szCs w:val="30"/>
        </w:rPr>
        <w:t>授权人签字：                      授权人签字：</w:t>
      </w:r>
    </w:p>
    <w:p>
      <w:pPr>
        <w:widowControl/>
        <w:wordWrap w:val="0"/>
        <w:spacing w:line="336" w:lineRule="auto"/>
        <w:jc w:val="left"/>
        <w:rPr>
          <w:rFonts w:hint="eastAsia" w:ascii="仿宋" w:hAnsi="仿宋" w:eastAsia="仿宋" w:cs="仿宋"/>
          <w:sz w:val="30"/>
          <w:szCs w:val="30"/>
        </w:rPr>
      </w:pPr>
      <w:r>
        <w:rPr>
          <w:rFonts w:hint="eastAsia" w:ascii="仿宋" w:hAnsi="仿宋" w:eastAsia="仿宋" w:cs="仿宋"/>
          <w:sz w:val="30"/>
          <w:szCs w:val="30"/>
        </w:rPr>
        <w:t xml:space="preserve">电话：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电话：</w:t>
      </w:r>
    </w:p>
    <w:p>
      <w:pPr>
        <w:widowControl/>
        <w:wordWrap w:val="0"/>
        <w:spacing w:line="336" w:lineRule="auto"/>
        <w:jc w:val="left"/>
        <w:rPr>
          <w:rFonts w:hint="eastAsia"/>
          <w:lang w:val="en-US" w:eastAsia="zh-CN"/>
        </w:rPr>
        <w:sectPr>
          <w:pgSz w:w="11907" w:h="16840"/>
          <w:pgMar w:top="1785" w:right="1418" w:bottom="1418" w:left="1418" w:header="724" w:footer="851" w:gutter="0"/>
          <w:cols w:space="720" w:num="1"/>
          <w:docGrid w:linePitch="290" w:charSpace="-3931"/>
        </w:sectPr>
      </w:pPr>
      <w:r>
        <w:rPr>
          <w:rFonts w:hint="eastAsia" w:ascii="仿宋" w:hAnsi="仿宋" w:eastAsia="仿宋" w:cs="仿宋"/>
          <w:sz w:val="30"/>
          <w:szCs w:val="30"/>
        </w:rPr>
        <w:t xml:space="preserve">     年     月     日                  年     月     日</w:t>
      </w:r>
    </w:p>
    <w:bookmarkEnd w:id="23"/>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仿宋_GB2312">
    <w:altName w:val="汉仪仿宋KW"/>
    <w:panose1 w:val="02010609030101010101"/>
    <w:charset w:val="86"/>
    <w:family w:val="modern"/>
    <w:pitch w:val="default"/>
    <w:sig w:usb0="00000000" w:usb1="00000000" w:usb2="00000000" w:usb3="00000000" w:csb0="00040000" w:csb1="00000000"/>
  </w:font>
  <w:font w:name="汉仪仿宋KW">
    <w:panose1 w:val="00020600040101010101"/>
    <w:charset w:val="86"/>
    <w:family w:val="auto"/>
    <w:pitch w:val="default"/>
    <w:sig w:usb0="A00002BF" w:usb1="18EF7CFA" w:usb2="00000016"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Cordia New">
    <w:altName w:val="Noto Sans Thai"/>
    <w:panose1 w:val="020B0304020202020204"/>
    <w:charset w:val="DE"/>
    <w:family w:val="swiss"/>
    <w:pitch w:val="default"/>
    <w:sig w:usb0="00000000" w:usb1="00000000" w:usb2="00000000" w:usb3="00000000" w:csb0="00010001" w:csb1="00000000"/>
  </w:font>
  <w:font w:name="Noto Sans Thai">
    <w:panose1 w:val="020B0502040504020204"/>
    <w:charset w:val="00"/>
    <w:family w:val="auto"/>
    <w:pitch w:val="default"/>
    <w:sig w:usb0="81000063" w:usb1="00002000" w:usb2="00000000" w:usb3="00000000" w:csb0="00000000" w:csb1="00000000"/>
  </w:font>
  <w:font w:name="等线 Light">
    <w:altName w:val="Noto Serif CJK SC"/>
    <w:panose1 w:val="02010600030101010101"/>
    <w:charset w:val="86"/>
    <w:family w:val="auto"/>
    <w:pitch w:val="default"/>
    <w:sig w:usb0="00000000" w:usb1="00000000" w:usb2="00000016" w:usb3="00000000" w:csb0="0004000F" w:csb1="00000000"/>
  </w:font>
  <w:font w:name="Noto Serif CJK SC">
    <w:panose1 w:val="02020400000000000000"/>
    <w:charset w:val="86"/>
    <w:family w:val="auto"/>
    <w:pitch w:val="default"/>
    <w:sig w:usb0="30000083" w:usb1="2BDF3C10" w:usb2="00000016" w:usb3="00000000" w:csb0="602E0107" w:csb1="00000000"/>
  </w:font>
  <w:font w:name="Angsana New">
    <w:altName w:val="Noto Serif Thai"/>
    <w:panose1 w:val="02020603050405020304"/>
    <w:charset w:val="DE"/>
    <w:family w:val="roman"/>
    <w:pitch w:val="default"/>
    <w:sig w:usb0="00000000" w:usb1="00000000" w:usb2="00000000" w:usb3="00000000" w:csb0="00010001" w:csb1="00000000"/>
  </w:font>
  <w:font w:name="Noto Serif Thai">
    <w:panose1 w:val="02020502060505020204"/>
    <w:charset w:val="00"/>
    <w:family w:val="auto"/>
    <w:pitch w:val="default"/>
    <w:sig w:usb0="81000063" w:usb1="00002000" w:usb2="00000000" w:usb3="00000000" w:csb0="00000000" w:csb1="00000000"/>
  </w:font>
  <w:font w:name="Microsoft YaHei UI">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汉仪楷体KW">
    <w:panose1 w:val="00020600040101010101"/>
    <w:charset w:val="86"/>
    <w:family w:val="auto"/>
    <w:pitch w:val="default"/>
    <w:sig w:usb0="A00002BF" w:usb1="18EF7CFA" w:usb2="00000016" w:usb3="00000000" w:csb0="00040000" w:csb1="00000000"/>
  </w:font>
  <w:font w:name="仿宋">
    <w:altName w:val="汉仪仿宋KW"/>
    <w:panose1 w:val="02010609060101010101"/>
    <w:charset w:val="86"/>
    <w:family w:val="auto"/>
    <w:pitch w:val="default"/>
    <w:sig w:usb0="00000000" w:usb1="00000000" w:usb2="00000016"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HOEmLQ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JHOEm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nQ817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CB2270"/>
    <w:multiLevelType w:val="singleLevel"/>
    <w:tmpl w:val="ADCB2270"/>
    <w:lvl w:ilvl="0" w:tentative="0">
      <w:start w:val="1"/>
      <w:numFmt w:val="chineseCounting"/>
      <w:suff w:val="nothing"/>
      <w:lvlText w:val="%1、"/>
      <w:lvlJc w:val="left"/>
      <w:rPr>
        <w:rFonts w:hint="eastAsia"/>
      </w:rPr>
    </w:lvl>
  </w:abstractNum>
  <w:abstractNum w:abstractNumId="1">
    <w:nsid w:val="CA57CAB8"/>
    <w:multiLevelType w:val="singleLevel"/>
    <w:tmpl w:val="CA57CAB8"/>
    <w:lvl w:ilvl="0" w:tentative="0">
      <w:start w:val="1"/>
      <w:numFmt w:val="decimal"/>
      <w:suff w:val="nothing"/>
      <w:lvlText w:val="%1、"/>
      <w:lvlJc w:val="left"/>
    </w:lvl>
  </w:abstractNum>
  <w:abstractNum w:abstractNumId="2">
    <w:nsid w:val="D8EE4D1B"/>
    <w:multiLevelType w:val="multilevel"/>
    <w:tmpl w:val="D8EE4D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mYTg4OTJjNWY5MWM5Y2JhNmI4MjA1YTdmZGIzMmE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9B2276"/>
    <w:rsid w:val="009F533F"/>
    <w:rsid w:val="00A62F3D"/>
    <w:rsid w:val="00AA5F2D"/>
    <w:rsid w:val="00AB2905"/>
    <w:rsid w:val="00AE7AA6"/>
    <w:rsid w:val="00B25EF2"/>
    <w:rsid w:val="00B941C5"/>
    <w:rsid w:val="00BA7190"/>
    <w:rsid w:val="00CC1EFC"/>
    <w:rsid w:val="00E5434E"/>
    <w:rsid w:val="00E86C65"/>
    <w:rsid w:val="00EA37A5"/>
    <w:rsid w:val="00F204CA"/>
    <w:rsid w:val="00F47F06"/>
    <w:rsid w:val="00F702D9"/>
    <w:rsid w:val="00F71910"/>
    <w:rsid w:val="00F94AA9"/>
    <w:rsid w:val="01622091"/>
    <w:rsid w:val="01765742"/>
    <w:rsid w:val="024B582B"/>
    <w:rsid w:val="028654E2"/>
    <w:rsid w:val="02C00960"/>
    <w:rsid w:val="034D0622"/>
    <w:rsid w:val="047E2524"/>
    <w:rsid w:val="04B579D7"/>
    <w:rsid w:val="04FF3EDA"/>
    <w:rsid w:val="056F47F6"/>
    <w:rsid w:val="05C7592E"/>
    <w:rsid w:val="05F41B24"/>
    <w:rsid w:val="05FF4171"/>
    <w:rsid w:val="07A877C1"/>
    <w:rsid w:val="07F341CA"/>
    <w:rsid w:val="084D3281"/>
    <w:rsid w:val="090D25AA"/>
    <w:rsid w:val="0A4C0CC3"/>
    <w:rsid w:val="0A685F9D"/>
    <w:rsid w:val="0A763C19"/>
    <w:rsid w:val="0B250AB1"/>
    <w:rsid w:val="0BD715F6"/>
    <w:rsid w:val="0CE43883"/>
    <w:rsid w:val="0E140D02"/>
    <w:rsid w:val="0EAD1060"/>
    <w:rsid w:val="0EC0292C"/>
    <w:rsid w:val="10207C26"/>
    <w:rsid w:val="11CF23B2"/>
    <w:rsid w:val="134923F2"/>
    <w:rsid w:val="13672C4C"/>
    <w:rsid w:val="14A15C19"/>
    <w:rsid w:val="16942765"/>
    <w:rsid w:val="17360A45"/>
    <w:rsid w:val="17EC378B"/>
    <w:rsid w:val="1869167D"/>
    <w:rsid w:val="18EE35C1"/>
    <w:rsid w:val="19161BD2"/>
    <w:rsid w:val="192D0557"/>
    <w:rsid w:val="1AD96086"/>
    <w:rsid w:val="1AE92CAB"/>
    <w:rsid w:val="1C9E7AB5"/>
    <w:rsid w:val="1CC32B26"/>
    <w:rsid w:val="1EA11FD3"/>
    <w:rsid w:val="1ED22B1C"/>
    <w:rsid w:val="1F084B68"/>
    <w:rsid w:val="22CB7A9A"/>
    <w:rsid w:val="2338088B"/>
    <w:rsid w:val="2349318D"/>
    <w:rsid w:val="23C67733"/>
    <w:rsid w:val="242D14B2"/>
    <w:rsid w:val="251B37A9"/>
    <w:rsid w:val="263A29B5"/>
    <w:rsid w:val="290336EA"/>
    <w:rsid w:val="2D564730"/>
    <w:rsid w:val="2E9F3EB4"/>
    <w:rsid w:val="2EB771D0"/>
    <w:rsid w:val="2EBD72F5"/>
    <w:rsid w:val="2F9C0128"/>
    <w:rsid w:val="305F1A21"/>
    <w:rsid w:val="307279A7"/>
    <w:rsid w:val="30E16A06"/>
    <w:rsid w:val="31692558"/>
    <w:rsid w:val="31A315D2"/>
    <w:rsid w:val="33B821FC"/>
    <w:rsid w:val="34F7633C"/>
    <w:rsid w:val="350970E0"/>
    <w:rsid w:val="3621277F"/>
    <w:rsid w:val="36CB183F"/>
    <w:rsid w:val="374617A5"/>
    <w:rsid w:val="375B083B"/>
    <w:rsid w:val="37721CC8"/>
    <w:rsid w:val="37EE32D6"/>
    <w:rsid w:val="38386328"/>
    <w:rsid w:val="38567975"/>
    <w:rsid w:val="388008B3"/>
    <w:rsid w:val="391F125A"/>
    <w:rsid w:val="39632075"/>
    <w:rsid w:val="39B03A55"/>
    <w:rsid w:val="3A0224A2"/>
    <w:rsid w:val="3A63048C"/>
    <w:rsid w:val="3CE174F9"/>
    <w:rsid w:val="3CED6581"/>
    <w:rsid w:val="3CF67395"/>
    <w:rsid w:val="3D805ADE"/>
    <w:rsid w:val="3DA30DDA"/>
    <w:rsid w:val="3F412571"/>
    <w:rsid w:val="3F5956EE"/>
    <w:rsid w:val="3FBE709D"/>
    <w:rsid w:val="41345022"/>
    <w:rsid w:val="413A5F82"/>
    <w:rsid w:val="42120659"/>
    <w:rsid w:val="423D1901"/>
    <w:rsid w:val="42E93823"/>
    <w:rsid w:val="43896F13"/>
    <w:rsid w:val="43EB5E52"/>
    <w:rsid w:val="44126FAD"/>
    <w:rsid w:val="443866A1"/>
    <w:rsid w:val="454103BF"/>
    <w:rsid w:val="459A24A7"/>
    <w:rsid w:val="47190850"/>
    <w:rsid w:val="4733234D"/>
    <w:rsid w:val="477A5EA1"/>
    <w:rsid w:val="47ED75E7"/>
    <w:rsid w:val="48743888"/>
    <w:rsid w:val="48E672D5"/>
    <w:rsid w:val="48F31E37"/>
    <w:rsid w:val="4A8D13EF"/>
    <w:rsid w:val="4B3317B5"/>
    <w:rsid w:val="4C3A530E"/>
    <w:rsid w:val="4C6D7328"/>
    <w:rsid w:val="4C9B331A"/>
    <w:rsid w:val="4C9F3506"/>
    <w:rsid w:val="4CCD627C"/>
    <w:rsid w:val="4DEF1F77"/>
    <w:rsid w:val="4E2515A1"/>
    <w:rsid w:val="4E795424"/>
    <w:rsid w:val="4F73068E"/>
    <w:rsid w:val="504E306C"/>
    <w:rsid w:val="53723E9A"/>
    <w:rsid w:val="547F7FFD"/>
    <w:rsid w:val="54A84FC1"/>
    <w:rsid w:val="555620A7"/>
    <w:rsid w:val="555861B8"/>
    <w:rsid w:val="558C61FC"/>
    <w:rsid w:val="55F43CE7"/>
    <w:rsid w:val="56CC79BA"/>
    <w:rsid w:val="56D33123"/>
    <w:rsid w:val="56EB2722"/>
    <w:rsid w:val="574A6155"/>
    <w:rsid w:val="57916D63"/>
    <w:rsid w:val="57F91FFA"/>
    <w:rsid w:val="58804092"/>
    <w:rsid w:val="58E36164"/>
    <w:rsid w:val="597F7DE2"/>
    <w:rsid w:val="5A42516D"/>
    <w:rsid w:val="5A657737"/>
    <w:rsid w:val="5E32757F"/>
    <w:rsid w:val="5E7128C8"/>
    <w:rsid w:val="5E7919F9"/>
    <w:rsid w:val="5ED4433C"/>
    <w:rsid w:val="5EE03A8E"/>
    <w:rsid w:val="5F517C97"/>
    <w:rsid w:val="5FC46F41"/>
    <w:rsid w:val="60AE53F2"/>
    <w:rsid w:val="60BC4873"/>
    <w:rsid w:val="61261C60"/>
    <w:rsid w:val="61A476DC"/>
    <w:rsid w:val="61CF35C7"/>
    <w:rsid w:val="623C0C02"/>
    <w:rsid w:val="636F4F70"/>
    <w:rsid w:val="63985EF5"/>
    <w:rsid w:val="63DD327E"/>
    <w:rsid w:val="63F7386F"/>
    <w:rsid w:val="642A3E84"/>
    <w:rsid w:val="64847823"/>
    <w:rsid w:val="64CD0A7C"/>
    <w:rsid w:val="65293EFC"/>
    <w:rsid w:val="659B647C"/>
    <w:rsid w:val="65AD6236"/>
    <w:rsid w:val="65C41412"/>
    <w:rsid w:val="663F79BE"/>
    <w:rsid w:val="6703077D"/>
    <w:rsid w:val="678E1D9F"/>
    <w:rsid w:val="68C21B41"/>
    <w:rsid w:val="69136635"/>
    <w:rsid w:val="69DB7D8B"/>
    <w:rsid w:val="6AFE7E7F"/>
    <w:rsid w:val="6B570CC1"/>
    <w:rsid w:val="6B611FC3"/>
    <w:rsid w:val="6BC411A5"/>
    <w:rsid w:val="6D445641"/>
    <w:rsid w:val="6DBE59DF"/>
    <w:rsid w:val="6DC54152"/>
    <w:rsid w:val="6F5074C1"/>
    <w:rsid w:val="700F114A"/>
    <w:rsid w:val="71BA7FD4"/>
    <w:rsid w:val="7208405F"/>
    <w:rsid w:val="720E4873"/>
    <w:rsid w:val="722C1411"/>
    <w:rsid w:val="729460FE"/>
    <w:rsid w:val="72B9637B"/>
    <w:rsid w:val="73724F92"/>
    <w:rsid w:val="73A82490"/>
    <w:rsid w:val="73E72A46"/>
    <w:rsid w:val="74070338"/>
    <w:rsid w:val="744027CD"/>
    <w:rsid w:val="74C7713F"/>
    <w:rsid w:val="74E66B0F"/>
    <w:rsid w:val="750267DB"/>
    <w:rsid w:val="75802AFA"/>
    <w:rsid w:val="75FC3666"/>
    <w:rsid w:val="765B69DE"/>
    <w:rsid w:val="77A81C37"/>
    <w:rsid w:val="77C41C39"/>
    <w:rsid w:val="77D475BB"/>
    <w:rsid w:val="77EF6C01"/>
    <w:rsid w:val="7A770543"/>
    <w:rsid w:val="7A835790"/>
    <w:rsid w:val="7AB94715"/>
    <w:rsid w:val="7B2C31E8"/>
    <w:rsid w:val="7B72355F"/>
    <w:rsid w:val="7BB27376"/>
    <w:rsid w:val="7D4635F6"/>
    <w:rsid w:val="7E044833"/>
    <w:rsid w:val="7F3027C4"/>
    <w:rsid w:val="F9DF26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8"/>
    <w:qFormat/>
    <w:uiPriority w:val="0"/>
    <w:rPr>
      <w:rFonts w:ascii="仿宋_GB2312" w:eastAsia="仿宋_GB2312"/>
      <w:sz w:val="32"/>
      <w:lang w:val="zh-CN" w:eastAsia="zh-CN"/>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普通 (Web)"/>
    <w:basedOn w:val="1"/>
    <w:qFormat/>
    <w:uiPriority w:val="0"/>
    <w:pPr>
      <w:widowControl/>
      <w:spacing w:beforeAutospacing="1" w:afterAutospacing="1"/>
      <w:jc w:val="left"/>
    </w:pPr>
    <w:rPr>
      <w:rFonts w:ascii="宋体" w:hAnsi="宋体"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40</Pages>
  <Words>12246</Words>
  <Characters>12769</Characters>
  <Lines>247</Lines>
  <Paragraphs>69</Paragraphs>
  <TotalTime>0</TotalTime>
  <ScaleCrop>false</ScaleCrop>
  <LinksUpToDate>false</LinksUpToDate>
  <CharactersWithSpaces>17460</CharactersWithSpaces>
  <Application>WPS Office WWO_dingtalk_20221031101348-1857be321c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刘庆运</cp:lastModifiedBy>
  <cp:lastPrinted>2023-09-07T08:59:00Z</cp:lastPrinted>
  <dcterms:modified xsi:type="dcterms:W3CDTF">2023-11-06T17:07:26Z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64A9B4E91EB9457688F86F3769C7A097_13</vt:lpwstr>
  </property>
</Properties>
</file>