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EB68A1">
      <w:pPr>
        <w:pStyle w:val="2"/>
        <w:widowControl/>
        <w:jc w:val="center"/>
        <w:rPr>
          <w:i w:val="0"/>
          <w:iCs/>
          <w:sz w:val="32"/>
          <w:szCs w:val="32"/>
          <w:lang w:val="en-US"/>
        </w:rPr>
      </w:pPr>
      <w:bookmarkStart w:id="0" w:name="_Toc12866"/>
      <w:r>
        <w:rPr>
          <w:rFonts w:hint="eastAsia" w:cs="宋体"/>
          <w:i w:val="0"/>
          <w:iCs/>
          <w:sz w:val="32"/>
          <w:szCs w:val="32"/>
          <w:lang w:val="en-US" w:eastAsia="zh-CN"/>
        </w:rPr>
        <w:t>新能源产品试验检测中心（二期）技改项目绿化工程施工</w:t>
      </w:r>
      <w:bookmarkStart w:id="2" w:name="_GoBack"/>
      <w:bookmarkEnd w:id="2"/>
      <w:r>
        <w:rPr>
          <w:rFonts w:hint="eastAsia" w:cs="宋体"/>
          <w:i w:val="0"/>
          <w:iCs/>
          <w:sz w:val="32"/>
          <w:szCs w:val="32"/>
          <w:lang w:val="en-US" w:eastAsia="zh-CN"/>
        </w:rPr>
        <w:t>招标公告</w:t>
      </w:r>
      <w:bookmarkEnd w:id="0"/>
    </w:p>
    <w:p w14:paraId="1EBE2D1A">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ZBGL2026030363</w:t>
      </w:r>
      <w:r>
        <w:rPr>
          <w:rFonts w:hint="eastAsia" w:ascii="Cambria" w:hAnsi="Cambria" w:eastAsia="宋体" w:cs="宋体"/>
          <w:b/>
          <w:bCs/>
          <w:i w:val="0"/>
          <w:iCs/>
          <w:sz w:val="22"/>
          <w:szCs w:val="22"/>
          <w:highlight w:val="none"/>
          <w:lang w:eastAsia="zh-CN"/>
        </w:rPr>
        <w:t>）</w:t>
      </w:r>
      <w:bookmarkEnd w:id="1"/>
    </w:p>
    <w:p w14:paraId="20BDA0D9">
      <w:pPr>
        <w:rPr>
          <w:rFonts w:hint="eastAsia" w:asciiTheme="majorEastAsia" w:hAnsiTheme="majorEastAsia" w:eastAsiaTheme="majorEastAsia" w:cstheme="majorEastAsia"/>
          <w:b/>
          <w:bCs/>
          <w:sz w:val="24"/>
          <w:szCs w:val="24"/>
        </w:rPr>
      </w:pPr>
    </w:p>
    <w:p w14:paraId="474C137B">
      <w:pPr>
        <w:rPr>
          <w:rFonts w:hint="eastAsia" w:asciiTheme="majorEastAsia" w:hAnsiTheme="majorEastAsia" w:eastAsiaTheme="majorEastAsia" w:cstheme="majorEastAsia"/>
          <w:b/>
          <w:bCs/>
          <w:sz w:val="24"/>
          <w:szCs w:val="24"/>
        </w:rPr>
      </w:pPr>
    </w:p>
    <w:tbl>
      <w:tblPr>
        <w:tblStyle w:val="9"/>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677DE7B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6FB91D9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06EEAF26">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2026-04-02</w:t>
            </w:r>
          </w:p>
        </w:tc>
        <w:tc>
          <w:tcPr>
            <w:tcW w:w="2200" w:type="dxa"/>
            <w:shd w:val="clear" w:color="auto" w:fill="DEDEDE"/>
            <w:vAlign w:val="center"/>
          </w:tcPr>
          <w:p w14:paraId="09883BE4">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66EF447B">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2026-04-07</w:t>
            </w:r>
          </w:p>
        </w:tc>
      </w:tr>
    </w:tbl>
    <w:p w14:paraId="3891D99F">
      <w:pPr>
        <w:rPr>
          <w:rFonts w:hint="eastAsia" w:asciiTheme="majorEastAsia" w:hAnsiTheme="majorEastAsia" w:eastAsiaTheme="majorEastAsia" w:cstheme="majorEastAsia"/>
          <w:b/>
          <w:bCs/>
          <w:sz w:val="24"/>
          <w:szCs w:val="24"/>
        </w:rPr>
      </w:pPr>
    </w:p>
    <w:p w14:paraId="22A1DC92">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5FE50318">
      <w:pPr>
        <w:ind w:firstLine="480"/>
        <w:rPr>
          <w:rStyle w:val="22"/>
          <w:rFonts w:hint="default" w:ascii="宋体" w:hAnsi="宋体"/>
          <w:highlight w:val="none"/>
        </w:rPr>
      </w:pPr>
      <w:r>
        <w:rPr>
          <w:rStyle w:val="22"/>
          <w:rFonts w:hint="eastAsia" w:ascii="宋体" w:hAnsi="宋体"/>
          <w:highlight w:val="none"/>
          <w:lang w:eastAsia="zh-CN"/>
        </w:rPr>
        <w:t>新能源产品试验检测中心（二期）技改项目</w:t>
      </w:r>
      <w:r>
        <w:rPr>
          <w:rStyle w:val="22"/>
          <w:rFonts w:hint="default" w:ascii="宋体" w:hAnsi="宋体"/>
          <w:highlight w:val="none"/>
        </w:rPr>
        <w:t>，绿化面积约</w:t>
      </w:r>
      <w:r>
        <w:rPr>
          <w:rStyle w:val="22"/>
          <w:rFonts w:hint="eastAsia" w:ascii="宋体" w:hAnsi="宋体"/>
          <w:highlight w:val="none"/>
          <w:lang w:eastAsia="zh-CN"/>
        </w:rPr>
        <w:t>22024</w:t>
      </w:r>
      <w:r>
        <w:rPr>
          <w:rStyle w:val="22"/>
          <w:rFonts w:hint="default" w:ascii="宋体" w:hAnsi="宋体"/>
          <w:highlight w:val="none"/>
        </w:rPr>
        <w:t>㎡，本次招标范围包括但不限于施工图纸及清单范围内的全部工作内容的施工、验收及保修、养护。</w:t>
      </w:r>
    </w:p>
    <w:p w14:paraId="34DE45B1">
      <w:pPr>
        <w:ind w:firstLine="480"/>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highlight w:val="yellow"/>
          <w:lang w:val="en-US" w:eastAsia="zh-CN"/>
        </w:rPr>
        <w:t>（若需详情，请联系技术联系人，或应标后见招标文件技术标书）</w:t>
      </w:r>
    </w:p>
    <w:p w14:paraId="36BF1B5C">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755D5F2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新能源产品试验检测中心（二期）技改项目绿化工程施工</w:t>
      </w:r>
    </w:p>
    <w:p w14:paraId="4610D852">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直管单位非生产招标 / 工程建设 / 工程建设</w:t>
      </w:r>
    </w:p>
    <w:p w14:paraId="3BA3571B">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3B9A1FE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26BCDC17">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083B873F">
      <w:pPr>
        <w:widowControl/>
        <w:spacing w:line="360" w:lineRule="auto"/>
        <w:ind w:firstLine="480" w:firstLineChars="200"/>
        <w:jc w:val="left"/>
        <w:rPr>
          <w:rFonts w:ascii="宋体" w:hAnsi="宋体" w:cs="宋体"/>
          <w:kern w:val="0"/>
          <w:sz w:val="24"/>
          <w:lang w:bidi="en-US"/>
        </w:rPr>
      </w:pPr>
      <w:r>
        <w:rPr>
          <w:rFonts w:hint="eastAsia" w:asciiTheme="majorEastAsia" w:hAnsiTheme="majorEastAsia" w:eastAsiaTheme="majorEastAsia" w:cstheme="majorEastAsia"/>
          <w:sz w:val="24"/>
          <w:szCs w:val="24"/>
        </w:rPr>
        <w:t xml:space="preserve">    </w:t>
      </w:r>
      <w:r>
        <w:rPr>
          <w:rFonts w:hint="eastAsia" w:ascii="宋体" w:hAnsi="宋体" w:cs="宋体"/>
          <w:kern w:val="0"/>
          <w:sz w:val="24"/>
          <w:lang w:bidi="en-US"/>
        </w:rPr>
        <w:t>3.1 本次招标要求投标人具备：</w:t>
      </w:r>
    </w:p>
    <w:p w14:paraId="336258C9">
      <w:pPr>
        <w:widowControl/>
        <w:spacing w:line="360" w:lineRule="auto"/>
        <w:ind w:left="2" w:firstLine="480" w:firstLineChars="200"/>
        <w:jc w:val="left"/>
        <w:rPr>
          <w:rFonts w:ascii="宋体" w:hAnsi="宋体"/>
          <w:kern w:val="0"/>
          <w:sz w:val="24"/>
          <w:szCs w:val="21"/>
          <w:lang w:bidi="en-US"/>
        </w:rPr>
      </w:pPr>
      <w:r>
        <w:rPr>
          <w:rFonts w:hint="eastAsia" w:ascii="宋体" w:hAnsi="宋体"/>
          <w:kern w:val="0"/>
          <w:sz w:val="24"/>
          <w:szCs w:val="21"/>
          <w:lang w:bidi="en-US"/>
        </w:rPr>
        <w:t>（1）投标人</w:t>
      </w:r>
      <w:r>
        <w:rPr>
          <w:rFonts w:hint="eastAsia"/>
          <w:kern w:val="0"/>
          <w:sz w:val="24"/>
          <w:szCs w:val="21"/>
          <w:lang w:bidi="en-US"/>
        </w:rPr>
        <w:t>必须是在中华人民共和国境内注册的独立法人机构，具有独立承担民事责任能力，注册资金不少于</w:t>
      </w:r>
      <w:r>
        <w:rPr>
          <w:rFonts w:hint="eastAsia"/>
          <w:kern w:val="0"/>
          <w:sz w:val="24"/>
          <w:szCs w:val="21"/>
          <w:lang w:val="en-US" w:eastAsia="zh-CN" w:bidi="en-US"/>
        </w:rPr>
        <w:t>500</w:t>
      </w:r>
      <w:r>
        <w:rPr>
          <w:rFonts w:hint="eastAsia"/>
          <w:kern w:val="0"/>
          <w:sz w:val="24"/>
          <w:szCs w:val="21"/>
          <w:lang w:bidi="en-US"/>
        </w:rPr>
        <w:t>万人民币；</w:t>
      </w:r>
      <w:r>
        <w:rPr>
          <w:rFonts w:hint="eastAsia"/>
          <w:color w:val="auto"/>
          <w:kern w:val="0"/>
          <w:sz w:val="24"/>
          <w:szCs w:val="21"/>
          <w:highlight w:val="none"/>
          <w:lang w:bidi="en-US"/>
        </w:rPr>
        <w:t>营业执照中经营范围包括园林绿化</w:t>
      </w:r>
      <w:r>
        <w:rPr>
          <w:rFonts w:hint="eastAsia"/>
          <w:color w:val="auto"/>
          <w:kern w:val="0"/>
          <w:sz w:val="24"/>
          <w:szCs w:val="21"/>
          <w:highlight w:val="none"/>
          <w:lang w:val="en-US" w:eastAsia="zh-CN" w:bidi="en-US"/>
        </w:rPr>
        <w:t>工程</w:t>
      </w:r>
      <w:r>
        <w:rPr>
          <w:rFonts w:hint="eastAsia"/>
          <w:color w:val="auto"/>
          <w:kern w:val="0"/>
          <w:sz w:val="24"/>
          <w:szCs w:val="21"/>
          <w:highlight w:val="none"/>
          <w:lang w:bidi="en-US"/>
        </w:rPr>
        <w:t>、园林工程或绿化施工</w:t>
      </w:r>
      <w:r>
        <w:rPr>
          <w:rFonts w:hint="eastAsia"/>
          <w:color w:val="auto"/>
          <w:kern w:val="0"/>
          <w:sz w:val="24"/>
          <w:szCs w:val="21"/>
          <w:highlight w:val="none"/>
          <w:lang w:val="en-US" w:eastAsia="zh-CN" w:bidi="en-US"/>
        </w:rPr>
        <w:t>，</w:t>
      </w:r>
      <w:r>
        <w:rPr>
          <w:rFonts w:hint="eastAsia"/>
          <w:kern w:val="0"/>
          <w:sz w:val="24"/>
          <w:szCs w:val="21"/>
          <w:lang w:bidi="en-US"/>
        </w:rPr>
        <w:t>公司成立三年以上（以营业执照成立日期到开标当日满三年为准）；</w:t>
      </w:r>
      <w:r>
        <w:rPr>
          <w:rFonts w:hint="eastAsia" w:ascii="宋体" w:hAnsi="宋体"/>
          <w:kern w:val="0"/>
          <w:sz w:val="24"/>
          <w:szCs w:val="21"/>
          <w:lang w:bidi="en-US"/>
        </w:rPr>
        <w:t>并在人员、设备、资金等方面具有承担本项目的能力；</w:t>
      </w:r>
    </w:p>
    <w:p w14:paraId="14982A14">
      <w:pPr>
        <w:widowControl/>
        <w:spacing w:line="360" w:lineRule="auto"/>
        <w:ind w:left="2" w:firstLine="480" w:firstLineChars="200"/>
        <w:jc w:val="left"/>
        <w:rPr>
          <w:rFonts w:hint="eastAsia" w:ascii="宋体" w:hAnsi="宋体" w:eastAsia="宋体"/>
          <w:kern w:val="0"/>
          <w:sz w:val="24"/>
          <w:szCs w:val="21"/>
          <w:lang w:eastAsia="zh-CN" w:bidi="en-US"/>
        </w:rPr>
      </w:pPr>
      <w:r>
        <w:rPr>
          <w:rFonts w:hint="eastAsia" w:ascii="宋体" w:hAnsi="宋体"/>
          <w:kern w:val="0"/>
          <w:sz w:val="24"/>
          <w:szCs w:val="21"/>
          <w:lang w:bidi="en-US"/>
        </w:rPr>
        <w:t>（</w:t>
      </w:r>
      <w:r>
        <w:rPr>
          <w:rFonts w:hint="eastAsia" w:ascii="宋体" w:hAnsi="宋体"/>
          <w:kern w:val="0"/>
          <w:sz w:val="24"/>
          <w:szCs w:val="21"/>
          <w:lang w:val="en-US" w:eastAsia="zh-CN" w:bidi="en-US"/>
        </w:rPr>
        <w:t>2</w:t>
      </w:r>
      <w:r>
        <w:rPr>
          <w:rFonts w:hint="eastAsia" w:ascii="宋体" w:hAnsi="宋体"/>
          <w:kern w:val="0"/>
          <w:sz w:val="24"/>
          <w:szCs w:val="21"/>
          <w:lang w:bidi="en-US"/>
        </w:rPr>
        <w:t>）投标人拟派项目负责人要求：须具备</w:t>
      </w:r>
      <w:r>
        <w:rPr>
          <w:rFonts w:hint="eastAsia" w:ascii="宋体" w:hAnsi="宋体"/>
          <w:kern w:val="0"/>
          <w:sz w:val="24"/>
          <w:szCs w:val="21"/>
          <w:lang w:val="en-US" w:eastAsia="zh-CN" w:bidi="en-US"/>
        </w:rPr>
        <w:t>市政</w:t>
      </w:r>
      <w:r>
        <w:rPr>
          <w:rFonts w:hint="eastAsia" w:ascii="宋体" w:hAnsi="宋体"/>
          <w:kern w:val="0"/>
          <w:sz w:val="24"/>
          <w:szCs w:val="21"/>
          <w:lang w:bidi="en-US"/>
        </w:rPr>
        <w:t>工程专业</w:t>
      </w:r>
      <w:r>
        <w:rPr>
          <w:rFonts w:hint="eastAsia" w:ascii="宋体" w:hAnsi="宋体"/>
          <w:kern w:val="0"/>
          <w:sz w:val="24"/>
          <w:szCs w:val="21"/>
          <w:lang w:val="en-US" w:eastAsia="zh-CN" w:bidi="en-US"/>
        </w:rPr>
        <w:t>贰</w:t>
      </w:r>
      <w:r>
        <w:rPr>
          <w:rFonts w:hint="eastAsia" w:ascii="宋体" w:hAnsi="宋体"/>
          <w:kern w:val="0"/>
          <w:sz w:val="24"/>
          <w:szCs w:val="21"/>
          <w:lang w:bidi="en-US"/>
        </w:rPr>
        <w:t>级</w:t>
      </w:r>
      <w:r>
        <w:rPr>
          <w:rFonts w:hint="eastAsia" w:ascii="宋体" w:hAnsi="宋体"/>
          <w:kern w:val="0"/>
          <w:sz w:val="24"/>
          <w:szCs w:val="21"/>
          <w:lang w:val="en-US" w:eastAsia="zh-CN" w:bidi="en-US"/>
        </w:rPr>
        <w:t>及以上</w:t>
      </w:r>
      <w:r>
        <w:rPr>
          <w:rFonts w:hint="eastAsia" w:ascii="宋体" w:hAnsi="宋体"/>
          <w:kern w:val="0"/>
          <w:sz w:val="24"/>
          <w:szCs w:val="21"/>
          <w:lang w:bidi="en-US"/>
        </w:rPr>
        <w:t>注册建造师证书，具有有效的安全考核合格B证且不得担任其他在施建设工程项目的项目经理</w:t>
      </w:r>
      <w:r>
        <w:rPr>
          <w:rFonts w:hint="eastAsia"/>
        </w:rPr>
        <w:t>；</w:t>
      </w:r>
      <w:r>
        <w:rPr>
          <w:rFonts w:hint="eastAsia" w:ascii="宋体" w:hAnsi="宋体"/>
          <w:kern w:val="0"/>
          <w:sz w:val="24"/>
          <w:szCs w:val="21"/>
          <w:lang w:bidi="en-US"/>
        </w:rPr>
        <w:t>从业经历至少承担一项</w:t>
      </w:r>
      <w:r>
        <w:rPr>
          <w:rFonts w:hint="eastAsia" w:ascii="宋体" w:hAnsi="宋体"/>
          <w:kern w:val="0"/>
          <w:sz w:val="24"/>
          <w:szCs w:val="21"/>
          <w:lang w:val="en-US" w:eastAsia="zh-CN" w:bidi="en-US"/>
        </w:rPr>
        <w:t>绿化施工项目</w:t>
      </w:r>
      <w:r>
        <w:rPr>
          <w:rFonts w:hint="eastAsia" w:ascii="宋体" w:hAnsi="宋体"/>
          <w:kern w:val="0"/>
          <w:sz w:val="24"/>
          <w:szCs w:val="21"/>
          <w:lang w:bidi="en-US"/>
        </w:rPr>
        <w:t>业绩（担任项目经理或项目技术负责人）</w:t>
      </w:r>
      <w:r>
        <w:rPr>
          <w:rFonts w:hint="eastAsia" w:ascii="宋体" w:hAnsi="宋体"/>
          <w:kern w:val="0"/>
          <w:sz w:val="24"/>
          <w:szCs w:val="21"/>
          <w:lang w:eastAsia="zh-CN" w:bidi="en-US"/>
        </w:rPr>
        <w:t>；</w:t>
      </w:r>
    </w:p>
    <w:p w14:paraId="2B913C38">
      <w:pPr>
        <w:widowControl/>
        <w:spacing w:line="360" w:lineRule="auto"/>
        <w:ind w:left="2" w:firstLine="480" w:firstLineChars="200"/>
        <w:jc w:val="left"/>
        <w:rPr>
          <w:rFonts w:ascii="宋体" w:hAnsi="宋体"/>
          <w:b/>
          <w:bCs/>
          <w:kern w:val="0"/>
          <w:sz w:val="24"/>
          <w:szCs w:val="21"/>
          <w:lang w:bidi="en-US"/>
        </w:rPr>
      </w:pPr>
      <w:r>
        <w:rPr>
          <w:rFonts w:hint="eastAsia" w:ascii="宋体" w:hAnsi="宋体"/>
          <w:kern w:val="0"/>
          <w:sz w:val="24"/>
          <w:szCs w:val="21"/>
          <w:lang w:bidi="en-US"/>
        </w:rPr>
        <w:t>（</w:t>
      </w:r>
      <w:r>
        <w:rPr>
          <w:rFonts w:hint="eastAsia" w:ascii="宋体" w:hAnsi="宋体"/>
          <w:kern w:val="0"/>
          <w:sz w:val="24"/>
          <w:szCs w:val="21"/>
          <w:highlight w:val="none"/>
          <w:lang w:val="en-US" w:eastAsia="zh-CN" w:bidi="en-US"/>
        </w:rPr>
        <w:t>3</w:t>
      </w:r>
      <w:r>
        <w:rPr>
          <w:rFonts w:hint="eastAsia" w:ascii="宋体" w:hAnsi="宋体"/>
          <w:kern w:val="0"/>
          <w:sz w:val="24"/>
          <w:szCs w:val="21"/>
          <w:highlight w:val="none"/>
          <w:lang w:bidi="en-US"/>
        </w:rPr>
        <w:t>）</w:t>
      </w:r>
      <w:r>
        <w:rPr>
          <w:rFonts w:hint="eastAsia" w:ascii="宋体" w:hAnsi="宋体"/>
          <w:b/>
          <w:bCs/>
          <w:kern w:val="0"/>
          <w:sz w:val="24"/>
          <w:szCs w:val="21"/>
          <w:highlight w:val="none"/>
          <w:lang w:bidi="en-US"/>
        </w:rPr>
        <w:t>近三年至少具备三个</w:t>
      </w:r>
      <w:r>
        <w:rPr>
          <w:rFonts w:hint="eastAsia" w:ascii="宋体" w:hAnsi="宋体"/>
          <w:b/>
          <w:bCs/>
          <w:kern w:val="0"/>
          <w:sz w:val="24"/>
          <w:szCs w:val="21"/>
          <w:highlight w:val="none"/>
          <w:lang w:val="en-US" w:eastAsia="zh-CN" w:bidi="en-US"/>
        </w:rPr>
        <w:t>单项合同额</w:t>
      </w:r>
      <w:r>
        <w:rPr>
          <w:rFonts w:hint="eastAsia" w:ascii="宋体" w:hAnsi="宋体"/>
          <w:b/>
          <w:bCs/>
          <w:kern w:val="0"/>
          <w:sz w:val="24"/>
          <w:szCs w:val="21"/>
          <w:highlight w:val="none"/>
          <w:lang w:bidi="en-US"/>
        </w:rPr>
        <w:t>不低于</w:t>
      </w:r>
      <w:r>
        <w:rPr>
          <w:rFonts w:hint="eastAsia" w:ascii="宋体" w:hAnsi="宋体"/>
          <w:b/>
          <w:bCs/>
          <w:kern w:val="0"/>
          <w:sz w:val="24"/>
          <w:szCs w:val="21"/>
          <w:highlight w:val="none"/>
          <w:lang w:val="en-US" w:eastAsia="zh-CN" w:bidi="en-US"/>
        </w:rPr>
        <w:t>200万元</w:t>
      </w:r>
      <w:r>
        <w:rPr>
          <w:rFonts w:hint="eastAsia" w:ascii="宋体" w:hAnsi="宋体"/>
          <w:b/>
          <w:bCs/>
          <w:kern w:val="0"/>
          <w:sz w:val="24"/>
          <w:szCs w:val="21"/>
          <w:highlight w:val="none"/>
          <w:lang w:bidi="en-US"/>
        </w:rPr>
        <w:t>的</w:t>
      </w:r>
      <w:r>
        <w:rPr>
          <w:rFonts w:hint="eastAsia" w:ascii="宋体" w:hAnsi="宋体"/>
          <w:b/>
          <w:bCs/>
          <w:kern w:val="0"/>
          <w:sz w:val="24"/>
          <w:szCs w:val="21"/>
          <w:highlight w:val="none"/>
          <w:lang w:val="en-US" w:eastAsia="zh-CN" w:bidi="en-US"/>
        </w:rPr>
        <w:t>绿化工程施工业绩</w:t>
      </w:r>
      <w:r>
        <w:rPr>
          <w:rFonts w:hint="eastAsia" w:ascii="宋体" w:hAnsi="宋体"/>
          <w:b/>
          <w:bCs/>
          <w:kern w:val="0"/>
          <w:sz w:val="24"/>
          <w:szCs w:val="21"/>
          <w:highlight w:val="none"/>
          <w:lang w:bidi="en-US"/>
        </w:rPr>
        <w:t>（近三年业绩指202</w:t>
      </w:r>
      <w:r>
        <w:rPr>
          <w:rFonts w:hint="eastAsia" w:ascii="宋体" w:hAnsi="宋体"/>
          <w:b/>
          <w:bCs/>
          <w:kern w:val="0"/>
          <w:sz w:val="24"/>
          <w:szCs w:val="21"/>
          <w:highlight w:val="none"/>
          <w:lang w:val="en-US" w:eastAsia="zh-CN" w:bidi="en-US"/>
        </w:rPr>
        <w:t>3</w:t>
      </w:r>
      <w:r>
        <w:rPr>
          <w:rFonts w:hint="eastAsia" w:ascii="宋体" w:hAnsi="宋体"/>
          <w:b/>
          <w:bCs/>
          <w:kern w:val="0"/>
          <w:sz w:val="24"/>
          <w:szCs w:val="21"/>
          <w:highlight w:val="none"/>
          <w:lang w:bidi="en-US"/>
        </w:rPr>
        <w:t>年</w:t>
      </w:r>
      <w:r>
        <w:rPr>
          <w:rFonts w:hint="eastAsia" w:ascii="宋体" w:hAnsi="宋体"/>
          <w:b/>
          <w:bCs/>
          <w:kern w:val="0"/>
          <w:sz w:val="24"/>
          <w:szCs w:val="21"/>
          <w:highlight w:val="none"/>
          <w:lang w:val="en-US" w:eastAsia="zh-CN" w:bidi="en-US"/>
        </w:rPr>
        <w:t>3</w:t>
      </w:r>
      <w:r>
        <w:rPr>
          <w:rFonts w:hint="eastAsia" w:ascii="宋体" w:hAnsi="宋体"/>
          <w:b/>
          <w:bCs/>
          <w:kern w:val="0"/>
          <w:sz w:val="24"/>
          <w:szCs w:val="21"/>
          <w:highlight w:val="none"/>
          <w:lang w:bidi="en-US"/>
        </w:rPr>
        <w:t>月1</w:t>
      </w:r>
      <w:r>
        <w:rPr>
          <w:rFonts w:hint="eastAsia" w:ascii="宋体" w:hAnsi="宋体"/>
          <w:b/>
          <w:bCs/>
          <w:kern w:val="0"/>
          <w:sz w:val="24"/>
          <w:szCs w:val="21"/>
          <w:lang w:bidi="en-US"/>
        </w:rPr>
        <w:t>日至今，需提供合同协议书</w:t>
      </w:r>
      <w:r>
        <w:rPr>
          <w:rFonts w:hint="eastAsia" w:ascii="宋体" w:hAnsi="宋体"/>
          <w:b/>
          <w:bCs/>
          <w:kern w:val="0"/>
          <w:sz w:val="24"/>
          <w:szCs w:val="21"/>
          <w:lang w:val="en-US" w:eastAsia="zh-CN" w:bidi="en-US"/>
        </w:rPr>
        <w:t>及竣工验收报告</w:t>
      </w:r>
      <w:r>
        <w:rPr>
          <w:rFonts w:hint="eastAsia" w:ascii="宋体" w:hAnsi="宋体"/>
          <w:b/>
          <w:bCs/>
          <w:kern w:val="0"/>
          <w:sz w:val="24"/>
          <w:szCs w:val="21"/>
          <w:lang w:bidi="en-US"/>
        </w:rPr>
        <w:t>原件扫描件</w:t>
      </w:r>
      <w:r>
        <w:rPr>
          <w:rFonts w:hint="eastAsia" w:ascii="宋体" w:hAnsi="宋体"/>
          <w:b/>
          <w:bCs/>
          <w:color w:val="000000" w:themeColor="text1"/>
          <w:kern w:val="0"/>
          <w:sz w:val="24"/>
          <w:lang w:bidi="ar"/>
          <w14:textFill>
            <w14:solidFill>
              <w14:schemeClr w14:val="tx1"/>
            </w14:solidFill>
          </w14:textFill>
        </w:rPr>
        <w:t>）</w:t>
      </w:r>
      <w:r>
        <w:rPr>
          <w:rFonts w:hint="eastAsia" w:ascii="宋体" w:hAnsi="宋体"/>
          <w:b/>
          <w:bCs/>
          <w:kern w:val="0"/>
          <w:sz w:val="24"/>
          <w:szCs w:val="21"/>
          <w:lang w:bidi="en-US"/>
        </w:rPr>
        <w:t>；</w:t>
      </w:r>
    </w:p>
    <w:p w14:paraId="09749D10">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（4）财务要求：近三年财务状况良好（近三年指202</w:t>
      </w:r>
      <w:r>
        <w:rPr>
          <w:rFonts w:hint="eastAsia" w:ascii="宋体" w:hAnsi="宋体" w:cs="宋体"/>
          <w:kern w:val="0"/>
          <w:sz w:val="24"/>
          <w:lang w:val="en-US" w:eastAsia="zh-CN" w:bidi="en-US"/>
        </w:rPr>
        <w:t>3</w:t>
      </w:r>
      <w:r>
        <w:rPr>
          <w:rFonts w:hint="eastAsia" w:ascii="宋体" w:hAnsi="宋体" w:cs="宋体"/>
          <w:kern w:val="0"/>
          <w:sz w:val="24"/>
          <w:lang w:bidi="en-US"/>
        </w:rPr>
        <w:t>、202</w:t>
      </w:r>
      <w:r>
        <w:rPr>
          <w:rFonts w:hint="eastAsia" w:ascii="宋体" w:hAnsi="宋体" w:cs="宋体"/>
          <w:kern w:val="0"/>
          <w:sz w:val="24"/>
          <w:lang w:val="en-US" w:eastAsia="zh-CN" w:bidi="en-US"/>
        </w:rPr>
        <w:t>4</w:t>
      </w:r>
      <w:r>
        <w:rPr>
          <w:rFonts w:hint="eastAsia" w:ascii="宋体" w:hAnsi="宋体" w:cs="宋体"/>
          <w:kern w:val="0"/>
          <w:sz w:val="24"/>
          <w:lang w:bidi="en-US"/>
        </w:rPr>
        <w:t>、202</w:t>
      </w:r>
      <w:r>
        <w:rPr>
          <w:rFonts w:hint="eastAsia" w:ascii="宋体" w:hAnsi="宋体" w:cs="宋体"/>
          <w:kern w:val="0"/>
          <w:sz w:val="24"/>
          <w:lang w:val="en-US" w:eastAsia="zh-CN" w:bidi="en-US"/>
        </w:rPr>
        <w:t>5</w:t>
      </w:r>
      <w:r>
        <w:rPr>
          <w:rFonts w:hint="eastAsia" w:ascii="宋体" w:hAnsi="宋体" w:cs="宋体"/>
          <w:kern w:val="0"/>
          <w:sz w:val="24"/>
          <w:lang w:bidi="en-US"/>
        </w:rPr>
        <w:t>年，要求包含企业最近半年完税证明、信用证明材料（中国人民银行征信报告）；年度纳税信用评价信息；企业对外担保说明）；</w:t>
      </w:r>
    </w:p>
    <w:p w14:paraId="1B972674">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（5）信誉要求：公司信誉良好，无行政处罚及失信记录等信息，无与本项目有关的违法违规等不良行为，无招标违规、谎报年度报告信息、提供虚假资质资料等行为或其他行政处罚记录；</w:t>
      </w:r>
    </w:p>
    <w:p w14:paraId="6173C4EF">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w:t>
      </w:r>
      <w:r>
        <w:rPr>
          <w:rFonts w:hint="eastAsia" w:ascii="宋体" w:hAnsi="宋体" w:cs="宋体"/>
          <w:kern w:val="0"/>
          <w:sz w:val="24"/>
          <w:lang w:val="en-US" w:eastAsia="zh-CN" w:bidi="en-US"/>
        </w:rPr>
        <w:t>6</w:t>
      </w:r>
      <w:r>
        <w:rPr>
          <w:rFonts w:hint="eastAsia" w:ascii="宋体" w:hAnsi="宋体" w:cs="宋体"/>
          <w:kern w:val="0"/>
          <w:sz w:val="24"/>
          <w:lang w:bidi="en-US"/>
        </w:rPr>
        <w:t>）单位负责人为同一人或者存在控股、管理关系的不同投标人，不得同时报名参加本次招标活动，否则须另提供上级单位对本项目投标的授权。</w:t>
      </w:r>
    </w:p>
    <w:p w14:paraId="337C5DA5">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w:t>
      </w:r>
      <w:r>
        <w:rPr>
          <w:rFonts w:hint="eastAsia" w:ascii="宋体" w:hAnsi="宋体" w:cs="宋体"/>
          <w:kern w:val="0"/>
          <w:sz w:val="24"/>
          <w:lang w:val="en-US" w:eastAsia="zh-CN" w:bidi="en-US"/>
        </w:rPr>
        <w:t>7</w:t>
      </w:r>
      <w:r>
        <w:rPr>
          <w:rFonts w:hint="eastAsia" w:ascii="宋体" w:hAnsi="宋体" w:cs="宋体"/>
          <w:kern w:val="0"/>
          <w:sz w:val="24"/>
          <w:lang w:bidi="en-US"/>
        </w:rPr>
        <w:t>）投标人没有被我公司列入黑名单；</w:t>
      </w:r>
    </w:p>
    <w:p w14:paraId="2ED99FA6">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w:t>
      </w:r>
      <w:r>
        <w:rPr>
          <w:rFonts w:hint="eastAsia" w:ascii="宋体" w:hAnsi="宋体" w:cs="宋体"/>
          <w:kern w:val="0"/>
          <w:sz w:val="24"/>
          <w:lang w:val="en-US" w:eastAsia="zh-CN" w:bidi="en-US"/>
        </w:rPr>
        <w:t>8</w:t>
      </w:r>
      <w:r>
        <w:rPr>
          <w:rFonts w:hint="eastAsia" w:ascii="宋体" w:hAnsi="宋体" w:cs="宋体"/>
          <w:kern w:val="0"/>
          <w:sz w:val="24"/>
          <w:lang w:bidi="en-US"/>
        </w:rPr>
        <w:t>）投标人的直接或间接股东、法定代表人、董事、监事、高管非重汽员工及其亲属。</w:t>
      </w:r>
    </w:p>
    <w:p w14:paraId="597BC245">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w:t>
      </w:r>
      <w:r>
        <w:rPr>
          <w:rFonts w:hint="eastAsia" w:ascii="宋体" w:hAnsi="宋体" w:cs="宋体"/>
          <w:kern w:val="0"/>
          <w:sz w:val="24"/>
          <w:lang w:val="en-US" w:eastAsia="zh-CN" w:bidi="en-US"/>
        </w:rPr>
        <w:t>9</w:t>
      </w:r>
      <w:r>
        <w:rPr>
          <w:rFonts w:hint="eastAsia" w:ascii="宋体" w:hAnsi="宋体" w:cs="宋体"/>
          <w:kern w:val="0"/>
          <w:sz w:val="24"/>
          <w:lang w:bidi="en-US"/>
        </w:rPr>
        <w:t>）法律法规对合格投标人的其他要求、规定。</w:t>
      </w:r>
    </w:p>
    <w:p w14:paraId="42E96C2F">
      <w:pPr>
        <w:widowControl/>
        <w:spacing w:line="360" w:lineRule="auto"/>
        <w:ind w:firstLine="480" w:firstLineChars="200"/>
        <w:jc w:val="left"/>
        <w:rPr>
          <w:rFonts w:hint="eastAsia" w:ascii="宋体" w:hAnsi="宋体" w:cs="宋体"/>
          <w:kern w:val="0"/>
          <w:sz w:val="24"/>
          <w:lang w:bidi="en-US"/>
        </w:rPr>
      </w:pPr>
      <w:r>
        <w:rPr>
          <w:rFonts w:hint="eastAsia" w:ascii="宋体" w:hAnsi="宋体" w:cs="宋体"/>
          <w:kern w:val="0"/>
          <w:sz w:val="24"/>
          <w:lang w:bidi="en-US"/>
        </w:rPr>
        <w:t>3.2 被邀请单位</w:t>
      </w:r>
      <w:r>
        <w:rPr>
          <w:rFonts w:hint="eastAsia" w:ascii="宋体" w:hAnsi="宋体" w:cs="宋体"/>
          <w:kern w:val="0"/>
          <w:sz w:val="24"/>
          <w:u w:val="single"/>
          <w:lang w:bidi="en-US"/>
        </w:rPr>
        <w:t xml:space="preserve"> 不可以 </w:t>
      </w:r>
      <w:r>
        <w:rPr>
          <w:rFonts w:hint="eastAsia" w:ascii="宋体" w:hAnsi="宋体" w:cs="宋体"/>
          <w:kern w:val="0"/>
          <w:sz w:val="24"/>
          <w:lang w:bidi="en-US"/>
        </w:rPr>
        <w:t>组成联合体投标。</w:t>
      </w:r>
    </w:p>
    <w:p w14:paraId="4D6A540D">
      <w:pPr>
        <w:pStyle w:val="3"/>
        <w:rPr>
          <w:highlight w:val="yellow"/>
        </w:rPr>
      </w:pPr>
      <w:r>
        <w:rPr>
          <w:rFonts w:hint="eastAsia"/>
          <w:highlight w:val="yellow"/>
        </w:rPr>
        <w:t>资质文件组成</w:t>
      </w:r>
    </w:p>
    <w:p w14:paraId="49193D55">
      <w:pPr>
        <w:widowControl/>
        <w:numPr>
          <w:ilvl w:val="0"/>
          <w:numId w:val="1"/>
        </w:numPr>
        <w:spacing w:line="360" w:lineRule="auto"/>
        <w:rPr>
          <w:kern w:val="0"/>
          <w:sz w:val="24"/>
          <w:szCs w:val="21"/>
          <w:lang w:bidi="en-US"/>
        </w:rPr>
      </w:pPr>
      <w:r>
        <w:rPr>
          <w:rFonts w:hint="eastAsia"/>
          <w:kern w:val="0"/>
          <w:sz w:val="24"/>
          <w:szCs w:val="21"/>
          <w:lang w:bidi="en-US"/>
        </w:rPr>
        <w:t>XXX公司XXX项目投标信息明细表（详见本公告附件1，</w:t>
      </w:r>
      <w:r>
        <w:rPr>
          <w:rFonts w:hint="eastAsia"/>
          <w:b/>
          <w:bCs/>
          <w:kern w:val="0"/>
          <w:sz w:val="24"/>
          <w:szCs w:val="21"/>
          <w:lang w:bidi="en-US"/>
        </w:rPr>
        <w:t>注意要求附件1同时提供一份EXCEL格式，与上述PDF扫描件同时提交</w:t>
      </w:r>
      <w:r>
        <w:rPr>
          <w:rFonts w:hint="eastAsia"/>
          <w:kern w:val="0"/>
          <w:sz w:val="24"/>
          <w:szCs w:val="21"/>
          <w:lang w:bidi="en-US"/>
        </w:rPr>
        <w:t>）</w:t>
      </w:r>
    </w:p>
    <w:p w14:paraId="19CA1E22">
      <w:pPr>
        <w:widowControl/>
        <w:numPr>
          <w:ilvl w:val="0"/>
          <w:numId w:val="1"/>
        </w:numPr>
        <w:spacing w:line="360" w:lineRule="auto"/>
        <w:rPr>
          <w:kern w:val="0"/>
          <w:sz w:val="24"/>
          <w:szCs w:val="21"/>
          <w:lang w:bidi="en-US"/>
        </w:rPr>
      </w:pPr>
      <w:r>
        <w:rPr>
          <w:rFonts w:hint="eastAsia"/>
          <w:kern w:val="0"/>
          <w:sz w:val="24"/>
          <w:szCs w:val="21"/>
          <w:lang w:bidi="en-US"/>
        </w:rPr>
        <w:t>营业执照；</w:t>
      </w:r>
    </w:p>
    <w:p w14:paraId="6DAD8D1B">
      <w:pPr>
        <w:widowControl/>
        <w:numPr>
          <w:ilvl w:val="0"/>
          <w:numId w:val="1"/>
        </w:numPr>
        <w:spacing w:line="360" w:lineRule="auto"/>
        <w:rPr>
          <w:kern w:val="0"/>
          <w:sz w:val="24"/>
          <w:szCs w:val="21"/>
          <w:lang w:bidi="en-US"/>
        </w:rPr>
      </w:pPr>
      <w:r>
        <w:rPr>
          <w:rFonts w:hint="eastAsia"/>
          <w:kern w:val="0"/>
          <w:sz w:val="24"/>
          <w:szCs w:val="21"/>
          <w:lang w:bidi="en-US"/>
        </w:rPr>
        <w:t>安全生产许可证；</w:t>
      </w:r>
    </w:p>
    <w:p w14:paraId="4E351637">
      <w:pPr>
        <w:widowControl/>
        <w:numPr>
          <w:ilvl w:val="0"/>
          <w:numId w:val="1"/>
        </w:numPr>
        <w:spacing w:line="360" w:lineRule="auto"/>
        <w:rPr>
          <w:kern w:val="0"/>
          <w:sz w:val="24"/>
          <w:szCs w:val="21"/>
          <w:lang w:bidi="en-US"/>
        </w:rPr>
      </w:pPr>
      <w:r>
        <w:rPr>
          <w:rFonts w:hint="eastAsia"/>
          <w:kern w:val="0"/>
          <w:sz w:val="24"/>
          <w:szCs w:val="21"/>
          <w:lang w:bidi="en-US"/>
        </w:rPr>
        <w:t>信用中国，</w:t>
      </w:r>
      <w:r>
        <w:rPr>
          <w:rFonts w:hint="eastAsia" w:ascii="宋体" w:cs="宋体"/>
          <w:sz w:val="24"/>
          <w:lang w:bidi="ar"/>
        </w:rPr>
        <w:t>“中国执行信息公开网”截图</w:t>
      </w:r>
      <w:r>
        <w:rPr>
          <w:rFonts w:hint="eastAsia"/>
          <w:kern w:val="0"/>
          <w:sz w:val="24"/>
          <w:szCs w:val="21"/>
          <w:lang w:bidi="en-US"/>
        </w:rPr>
        <w:t>；</w:t>
      </w:r>
    </w:p>
    <w:p w14:paraId="049045EE">
      <w:pPr>
        <w:widowControl/>
        <w:numPr>
          <w:ilvl w:val="0"/>
          <w:numId w:val="1"/>
        </w:numPr>
        <w:spacing w:line="360" w:lineRule="auto"/>
        <w:jc w:val="left"/>
      </w:pPr>
      <w:r>
        <w:rPr>
          <w:rFonts w:hint="eastAsia" w:ascii="宋体" w:cs="宋体"/>
          <w:sz w:val="24"/>
          <w:lang w:bidi="ar"/>
        </w:rPr>
        <w:t>投标单位资产情况汇总表，按照下述表格内容及顺序如实填写。填写的依据为经审计事务所审计并盖章的企业财务审计报告等相关资料，并将对应年度（202</w:t>
      </w:r>
      <w:r>
        <w:rPr>
          <w:rFonts w:hint="eastAsia" w:ascii="宋体" w:cs="宋体"/>
          <w:sz w:val="24"/>
          <w:lang w:val="en-US" w:eastAsia="zh-CN" w:bidi="ar"/>
        </w:rPr>
        <w:t>3</w:t>
      </w:r>
      <w:r>
        <w:rPr>
          <w:rFonts w:hint="eastAsia" w:ascii="宋体" w:cs="宋体"/>
          <w:sz w:val="24"/>
          <w:lang w:bidi="ar"/>
        </w:rPr>
        <w:t>-202</w:t>
      </w:r>
      <w:r>
        <w:rPr>
          <w:rFonts w:hint="eastAsia" w:ascii="宋体" w:cs="宋体"/>
          <w:sz w:val="24"/>
          <w:lang w:val="en-US" w:eastAsia="zh-CN" w:bidi="ar"/>
        </w:rPr>
        <w:t>5</w:t>
      </w:r>
      <w:r>
        <w:rPr>
          <w:rFonts w:hint="eastAsia" w:ascii="宋体" w:cs="宋体"/>
          <w:sz w:val="24"/>
          <w:lang w:bidi="ar"/>
        </w:rPr>
        <w:t>年，提供最近三年报告）企业财务审计报告扫描件附后，</w:t>
      </w:r>
      <w:r>
        <w:rPr>
          <w:rFonts w:hint="eastAsia" w:ascii="宋体" w:hAnsi="宋体"/>
          <w:kern w:val="0"/>
          <w:sz w:val="24"/>
          <w:lang w:bidi="en-US"/>
        </w:rPr>
        <w:t>还应包含</w:t>
      </w:r>
      <w:r>
        <w:rPr>
          <w:rFonts w:hint="eastAsia" w:ascii="宋体" w:hAnsi="宋体"/>
          <w:b/>
          <w:bCs/>
          <w:kern w:val="0"/>
          <w:sz w:val="24"/>
          <w:lang w:bidi="en-US"/>
        </w:rPr>
        <w:t>企业最近半年完税证明、信用证明材料</w:t>
      </w:r>
      <w:r>
        <w:rPr>
          <w:rFonts w:hint="eastAsia" w:ascii="宋体" w:hAnsi="宋体"/>
          <w:kern w:val="0"/>
          <w:sz w:val="24"/>
          <w:lang w:bidi="en-US"/>
        </w:rPr>
        <w:t>（中国人民银行征信报告）；</w:t>
      </w:r>
      <w:r>
        <w:rPr>
          <w:rFonts w:hint="eastAsia" w:ascii="宋体" w:hAnsi="宋体"/>
          <w:b/>
          <w:bCs/>
          <w:kern w:val="0"/>
          <w:sz w:val="24"/>
          <w:lang w:bidi="en-US"/>
        </w:rPr>
        <w:t>年度纳税信用评价信息</w:t>
      </w:r>
      <w:r>
        <w:rPr>
          <w:rFonts w:hint="eastAsia"/>
          <w:kern w:val="0"/>
          <w:sz w:val="24"/>
          <w:szCs w:val="21"/>
          <w:lang w:bidi="en-US"/>
        </w:rPr>
        <w:t>（可从电子税务局查询截图，需加盖公章）</w:t>
      </w:r>
      <w:r>
        <w:rPr>
          <w:rFonts w:hint="eastAsia" w:ascii="宋体" w:hAnsi="宋体"/>
          <w:kern w:val="0"/>
          <w:sz w:val="24"/>
          <w:lang w:bidi="en-US"/>
        </w:rPr>
        <w:t>；</w:t>
      </w:r>
      <w:r>
        <w:rPr>
          <w:rFonts w:hint="eastAsia" w:ascii="宋体" w:hAnsi="宋体"/>
          <w:b/>
          <w:bCs/>
          <w:kern w:val="0"/>
          <w:sz w:val="24"/>
          <w:lang w:bidi="en-US"/>
        </w:rPr>
        <w:t>企业对外担保说明</w:t>
      </w:r>
      <w:r>
        <w:rPr>
          <w:rFonts w:hint="eastAsia"/>
          <w:kern w:val="0"/>
          <w:sz w:val="24"/>
          <w:szCs w:val="21"/>
          <w:lang w:bidi="en-US"/>
        </w:rPr>
        <w:t>（写明贵单位对外有无对外担保和质押业务，需加盖公章）</w:t>
      </w:r>
      <w:r>
        <w:rPr>
          <w:rFonts w:hint="eastAsia" w:ascii="宋体" w:cs="宋体"/>
          <w:sz w:val="24"/>
          <w:lang w:bidi="ar"/>
        </w:rPr>
        <w:t>。</w:t>
      </w:r>
      <w:r>
        <w:rPr>
          <w:rFonts w:hint="eastAsia" w:ascii="宋体" w:cs="宋体"/>
          <w:b/>
          <w:bCs/>
          <w:sz w:val="24"/>
          <w:lang w:bidi="ar"/>
        </w:rPr>
        <w:t>注意没有投标单位资产情况汇总表或扫描件不清晰无法辨认则会影响报名成功</w:t>
      </w:r>
      <w:r>
        <w:rPr>
          <w:rFonts w:hint="eastAsia"/>
          <w:kern w:val="0"/>
          <w:sz w:val="24"/>
          <w:lang w:bidi="en-US"/>
        </w:rPr>
        <w:t>；</w:t>
      </w:r>
    </w:p>
    <w:tbl>
      <w:tblPr>
        <w:tblStyle w:val="9"/>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6"/>
        <w:gridCol w:w="2295"/>
        <w:gridCol w:w="2283"/>
        <w:gridCol w:w="2283"/>
      </w:tblGrid>
      <w:tr w14:paraId="5891E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9287" w:type="dxa"/>
            <w:gridSpan w:val="4"/>
            <w:vAlign w:val="center"/>
          </w:tcPr>
          <w:p w14:paraId="605AAE36">
            <w:pPr>
              <w:keepNext w:val="0"/>
              <w:keepLines w:val="0"/>
              <w:suppressLineNumbers w:val="0"/>
              <w:spacing w:before="0" w:beforeAutospacing="0" w:after="0" w:afterAutospacing="0" w:line="360" w:lineRule="auto"/>
              <w:ind w:left="0" w:right="0"/>
              <w:jc w:val="center"/>
              <w:rPr>
                <w:rStyle w:val="22"/>
                <w:rFonts w:hint="default" w:ascii="宋体"/>
              </w:rPr>
            </w:pPr>
            <w:r>
              <w:rPr>
                <w:rStyle w:val="22"/>
                <w:rFonts w:hint="eastAsia" w:ascii="宋体"/>
              </w:rPr>
              <w:t>投标单位资产情况汇总表</w:t>
            </w:r>
          </w:p>
        </w:tc>
      </w:tr>
      <w:tr w14:paraId="26941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48414993">
            <w:pPr>
              <w:keepNext w:val="0"/>
              <w:keepLines w:val="0"/>
              <w:suppressLineNumbers w:val="0"/>
              <w:spacing w:before="0" w:beforeAutospacing="0" w:after="0" w:afterAutospacing="0" w:line="360" w:lineRule="auto"/>
              <w:ind w:left="0" w:right="0"/>
              <w:jc w:val="center"/>
              <w:rPr>
                <w:rStyle w:val="22"/>
                <w:rFonts w:hint="default" w:ascii="宋体"/>
              </w:rPr>
            </w:pPr>
            <w:r>
              <w:rPr>
                <w:rStyle w:val="22"/>
                <w:rFonts w:hint="eastAsia" w:ascii="宋体"/>
              </w:rPr>
              <w:t>注册资金（万元）</w:t>
            </w:r>
          </w:p>
        </w:tc>
        <w:tc>
          <w:tcPr>
            <w:tcW w:w="6861" w:type="dxa"/>
            <w:gridSpan w:val="3"/>
          </w:tcPr>
          <w:p w14:paraId="42534401">
            <w:pPr>
              <w:keepNext w:val="0"/>
              <w:keepLines w:val="0"/>
              <w:suppressLineNumbers w:val="0"/>
              <w:spacing w:before="0" w:beforeAutospacing="0" w:after="0" w:afterAutospacing="0" w:line="360" w:lineRule="auto"/>
              <w:ind w:left="0" w:right="0"/>
              <w:jc w:val="center"/>
              <w:rPr>
                <w:rStyle w:val="22"/>
                <w:rFonts w:hint="default" w:ascii="宋体"/>
              </w:rPr>
            </w:pPr>
          </w:p>
        </w:tc>
      </w:tr>
      <w:tr w14:paraId="100FA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43216AD5">
            <w:pPr>
              <w:keepNext w:val="0"/>
              <w:keepLines w:val="0"/>
              <w:suppressLineNumbers w:val="0"/>
              <w:spacing w:before="0" w:beforeAutospacing="0" w:after="0" w:afterAutospacing="0" w:line="360" w:lineRule="auto"/>
              <w:ind w:left="0" w:right="0"/>
              <w:jc w:val="center"/>
              <w:rPr>
                <w:rStyle w:val="22"/>
                <w:rFonts w:hint="default" w:ascii="宋体"/>
              </w:rPr>
            </w:pPr>
            <w:r>
              <w:rPr>
                <w:rStyle w:val="22"/>
                <w:rFonts w:hint="eastAsia" w:ascii="宋体"/>
              </w:rPr>
              <w:t>实收资金（万元）</w:t>
            </w:r>
          </w:p>
        </w:tc>
        <w:tc>
          <w:tcPr>
            <w:tcW w:w="6861" w:type="dxa"/>
            <w:gridSpan w:val="3"/>
          </w:tcPr>
          <w:p w14:paraId="4186F780">
            <w:pPr>
              <w:keepNext w:val="0"/>
              <w:keepLines w:val="0"/>
              <w:suppressLineNumbers w:val="0"/>
              <w:spacing w:before="0" w:beforeAutospacing="0" w:after="0" w:afterAutospacing="0" w:line="360" w:lineRule="auto"/>
              <w:ind w:left="0" w:right="0"/>
              <w:jc w:val="center"/>
              <w:rPr>
                <w:rStyle w:val="22"/>
                <w:rFonts w:hint="default" w:ascii="宋体"/>
              </w:rPr>
            </w:pPr>
          </w:p>
        </w:tc>
      </w:tr>
      <w:tr w14:paraId="6936C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68FA6287">
            <w:pPr>
              <w:keepNext w:val="0"/>
              <w:keepLines w:val="0"/>
              <w:suppressLineNumbers w:val="0"/>
              <w:spacing w:before="0" w:beforeAutospacing="0" w:after="0" w:afterAutospacing="0" w:line="360" w:lineRule="auto"/>
              <w:ind w:left="0" w:right="0"/>
              <w:jc w:val="center"/>
              <w:rPr>
                <w:rStyle w:val="22"/>
                <w:rFonts w:hint="default" w:ascii="宋体"/>
              </w:rPr>
            </w:pPr>
            <w:r>
              <w:rPr>
                <w:rStyle w:val="22"/>
                <w:rFonts w:hint="eastAsia" w:ascii="宋体"/>
              </w:rPr>
              <w:t>年度资产情况</w:t>
            </w:r>
          </w:p>
        </w:tc>
        <w:tc>
          <w:tcPr>
            <w:tcW w:w="2295" w:type="dxa"/>
          </w:tcPr>
          <w:p w14:paraId="604E12BD">
            <w:pPr>
              <w:keepNext w:val="0"/>
              <w:keepLines w:val="0"/>
              <w:suppressLineNumbers w:val="0"/>
              <w:spacing w:before="0" w:beforeAutospacing="0" w:after="0" w:afterAutospacing="0" w:line="360" w:lineRule="auto"/>
              <w:ind w:left="0" w:right="0"/>
              <w:jc w:val="center"/>
              <w:rPr>
                <w:rStyle w:val="22"/>
                <w:rFonts w:hint="default" w:ascii="宋体"/>
              </w:rPr>
            </w:pPr>
            <w:r>
              <w:rPr>
                <w:rStyle w:val="22"/>
                <w:rFonts w:hint="eastAsia" w:ascii="宋体"/>
              </w:rPr>
              <w:t>2022</w:t>
            </w:r>
            <w:r>
              <w:rPr>
                <w:rStyle w:val="22"/>
                <w:rFonts w:hint="eastAsia" w:ascii="宋体"/>
                <w:lang w:val="en-US" w:eastAsia="zh-CN"/>
              </w:rPr>
              <w:t>/2023</w:t>
            </w:r>
            <w:r>
              <w:rPr>
                <w:rStyle w:val="22"/>
                <w:rFonts w:hint="eastAsia" w:ascii="宋体"/>
              </w:rPr>
              <w:t>年</w:t>
            </w:r>
          </w:p>
        </w:tc>
        <w:tc>
          <w:tcPr>
            <w:tcW w:w="2283" w:type="dxa"/>
          </w:tcPr>
          <w:p w14:paraId="7758CC68">
            <w:pPr>
              <w:keepNext w:val="0"/>
              <w:keepLines w:val="0"/>
              <w:suppressLineNumbers w:val="0"/>
              <w:spacing w:before="0" w:beforeAutospacing="0" w:after="0" w:afterAutospacing="0" w:line="360" w:lineRule="auto"/>
              <w:ind w:left="0" w:right="0"/>
              <w:jc w:val="center"/>
              <w:rPr>
                <w:rStyle w:val="22"/>
                <w:rFonts w:hint="default" w:ascii="宋体"/>
              </w:rPr>
            </w:pPr>
            <w:r>
              <w:rPr>
                <w:rStyle w:val="22"/>
                <w:rFonts w:hint="eastAsia" w:ascii="宋体"/>
              </w:rPr>
              <w:t>2023</w:t>
            </w:r>
            <w:r>
              <w:rPr>
                <w:rStyle w:val="22"/>
                <w:rFonts w:hint="eastAsia" w:ascii="宋体"/>
                <w:lang w:val="en-US" w:eastAsia="zh-CN"/>
              </w:rPr>
              <w:t>/2024</w:t>
            </w:r>
            <w:r>
              <w:rPr>
                <w:rStyle w:val="22"/>
                <w:rFonts w:hint="eastAsia" w:ascii="宋体"/>
              </w:rPr>
              <w:t>年</w:t>
            </w:r>
          </w:p>
        </w:tc>
        <w:tc>
          <w:tcPr>
            <w:tcW w:w="2283" w:type="dxa"/>
          </w:tcPr>
          <w:p w14:paraId="6B51F9E4">
            <w:pPr>
              <w:keepNext w:val="0"/>
              <w:keepLines w:val="0"/>
              <w:suppressLineNumbers w:val="0"/>
              <w:spacing w:before="0" w:beforeAutospacing="0" w:after="0" w:afterAutospacing="0" w:line="360" w:lineRule="auto"/>
              <w:ind w:left="0" w:right="0"/>
              <w:jc w:val="center"/>
              <w:rPr>
                <w:rStyle w:val="22"/>
                <w:rFonts w:hint="default" w:ascii="宋体"/>
              </w:rPr>
            </w:pPr>
            <w:r>
              <w:rPr>
                <w:rStyle w:val="22"/>
                <w:rFonts w:hint="eastAsia" w:ascii="宋体"/>
              </w:rPr>
              <w:t>2024</w:t>
            </w:r>
            <w:r>
              <w:rPr>
                <w:rStyle w:val="22"/>
                <w:rFonts w:hint="eastAsia" w:ascii="宋体"/>
                <w:lang w:val="en-US" w:eastAsia="zh-CN"/>
              </w:rPr>
              <w:t>/2025</w:t>
            </w:r>
            <w:r>
              <w:rPr>
                <w:rStyle w:val="22"/>
                <w:rFonts w:hint="eastAsia" w:ascii="宋体"/>
              </w:rPr>
              <w:t>年</w:t>
            </w:r>
          </w:p>
        </w:tc>
      </w:tr>
      <w:tr w14:paraId="7C811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27F7A0BE">
            <w:pPr>
              <w:keepNext w:val="0"/>
              <w:keepLines w:val="0"/>
              <w:suppressLineNumbers w:val="0"/>
              <w:spacing w:before="0" w:beforeAutospacing="0" w:after="0" w:afterAutospacing="0" w:line="360" w:lineRule="auto"/>
              <w:ind w:left="0" w:right="0"/>
              <w:jc w:val="center"/>
              <w:rPr>
                <w:rStyle w:val="22"/>
                <w:rFonts w:hint="default" w:ascii="宋体"/>
              </w:rPr>
            </w:pPr>
            <w:r>
              <w:rPr>
                <w:rStyle w:val="22"/>
                <w:rFonts w:hint="eastAsia" w:ascii="宋体"/>
              </w:rPr>
              <w:t>流动资产（万元）</w:t>
            </w:r>
          </w:p>
        </w:tc>
        <w:tc>
          <w:tcPr>
            <w:tcW w:w="2295" w:type="dxa"/>
          </w:tcPr>
          <w:p w14:paraId="13510DC7">
            <w:pPr>
              <w:keepNext w:val="0"/>
              <w:keepLines w:val="0"/>
              <w:suppressLineNumbers w:val="0"/>
              <w:spacing w:before="0" w:beforeAutospacing="0" w:after="0" w:afterAutospacing="0" w:line="360" w:lineRule="auto"/>
              <w:ind w:left="0" w:right="0"/>
              <w:jc w:val="center"/>
              <w:rPr>
                <w:rStyle w:val="22"/>
                <w:rFonts w:hint="default" w:ascii="宋体"/>
              </w:rPr>
            </w:pPr>
          </w:p>
        </w:tc>
        <w:tc>
          <w:tcPr>
            <w:tcW w:w="2283" w:type="dxa"/>
          </w:tcPr>
          <w:p w14:paraId="7D52EFE6">
            <w:pPr>
              <w:keepNext w:val="0"/>
              <w:keepLines w:val="0"/>
              <w:suppressLineNumbers w:val="0"/>
              <w:spacing w:before="0" w:beforeAutospacing="0" w:after="0" w:afterAutospacing="0" w:line="360" w:lineRule="auto"/>
              <w:ind w:left="0" w:right="0"/>
              <w:jc w:val="center"/>
              <w:rPr>
                <w:rStyle w:val="22"/>
                <w:rFonts w:hint="default" w:ascii="宋体"/>
              </w:rPr>
            </w:pPr>
          </w:p>
        </w:tc>
        <w:tc>
          <w:tcPr>
            <w:tcW w:w="2283" w:type="dxa"/>
          </w:tcPr>
          <w:p w14:paraId="3BB965A0">
            <w:pPr>
              <w:keepNext w:val="0"/>
              <w:keepLines w:val="0"/>
              <w:suppressLineNumbers w:val="0"/>
              <w:spacing w:before="0" w:beforeAutospacing="0" w:after="0" w:afterAutospacing="0" w:line="360" w:lineRule="auto"/>
              <w:ind w:left="0" w:right="0"/>
              <w:jc w:val="center"/>
              <w:rPr>
                <w:rStyle w:val="22"/>
                <w:rFonts w:hint="default" w:ascii="宋体"/>
              </w:rPr>
            </w:pPr>
          </w:p>
        </w:tc>
      </w:tr>
      <w:tr w14:paraId="2A19F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6B032683">
            <w:pPr>
              <w:keepNext w:val="0"/>
              <w:keepLines w:val="0"/>
              <w:suppressLineNumbers w:val="0"/>
              <w:spacing w:before="0" w:beforeAutospacing="0" w:after="0" w:afterAutospacing="0" w:line="360" w:lineRule="auto"/>
              <w:ind w:left="0" w:right="0"/>
              <w:jc w:val="center"/>
              <w:rPr>
                <w:rStyle w:val="22"/>
                <w:rFonts w:hint="default" w:ascii="宋体"/>
              </w:rPr>
            </w:pPr>
            <w:r>
              <w:rPr>
                <w:rStyle w:val="22"/>
                <w:rFonts w:hint="eastAsia" w:ascii="宋体"/>
              </w:rPr>
              <w:t>非流动资产（万元）</w:t>
            </w:r>
          </w:p>
        </w:tc>
        <w:tc>
          <w:tcPr>
            <w:tcW w:w="2295" w:type="dxa"/>
          </w:tcPr>
          <w:p w14:paraId="3FF4BAC8">
            <w:pPr>
              <w:keepNext w:val="0"/>
              <w:keepLines w:val="0"/>
              <w:suppressLineNumbers w:val="0"/>
              <w:spacing w:before="0" w:beforeAutospacing="0" w:after="0" w:afterAutospacing="0" w:line="360" w:lineRule="auto"/>
              <w:ind w:left="0" w:right="0"/>
              <w:jc w:val="center"/>
              <w:rPr>
                <w:rStyle w:val="22"/>
                <w:rFonts w:hint="default" w:ascii="宋体"/>
              </w:rPr>
            </w:pPr>
          </w:p>
        </w:tc>
        <w:tc>
          <w:tcPr>
            <w:tcW w:w="2283" w:type="dxa"/>
          </w:tcPr>
          <w:p w14:paraId="20525627">
            <w:pPr>
              <w:keepNext w:val="0"/>
              <w:keepLines w:val="0"/>
              <w:suppressLineNumbers w:val="0"/>
              <w:spacing w:before="0" w:beforeAutospacing="0" w:after="0" w:afterAutospacing="0" w:line="360" w:lineRule="auto"/>
              <w:ind w:left="0" w:right="0"/>
              <w:jc w:val="center"/>
              <w:rPr>
                <w:rStyle w:val="22"/>
                <w:rFonts w:hint="default" w:ascii="宋体"/>
              </w:rPr>
            </w:pPr>
          </w:p>
        </w:tc>
        <w:tc>
          <w:tcPr>
            <w:tcW w:w="2283" w:type="dxa"/>
          </w:tcPr>
          <w:p w14:paraId="1E2513AC">
            <w:pPr>
              <w:keepNext w:val="0"/>
              <w:keepLines w:val="0"/>
              <w:suppressLineNumbers w:val="0"/>
              <w:spacing w:before="0" w:beforeAutospacing="0" w:after="0" w:afterAutospacing="0" w:line="360" w:lineRule="auto"/>
              <w:ind w:left="0" w:right="0"/>
              <w:jc w:val="center"/>
              <w:rPr>
                <w:rStyle w:val="22"/>
                <w:rFonts w:hint="default" w:ascii="宋体"/>
              </w:rPr>
            </w:pPr>
          </w:p>
        </w:tc>
      </w:tr>
      <w:tr w14:paraId="75511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32812B6B">
            <w:pPr>
              <w:keepNext w:val="0"/>
              <w:keepLines w:val="0"/>
              <w:suppressLineNumbers w:val="0"/>
              <w:spacing w:before="0" w:beforeAutospacing="0" w:after="0" w:afterAutospacing="0" w:line="360" w:lineRule="auto"/>
              <w:ind w:left="0" w:right="0"/>
              <w:jc w:val="center"/>
              <w:rPr>
                <w:rStyle w:val="22"/>
                <w:rFonts w:hint="default" w:ascii="宋体"/>
              </w:rPr>
            </w:pPr>
            <w:r>
              <w:rPr>
                <w:rStyle w:val="22"/>
                <w:rFonts w:hint="eastAsia" w:ascii="宋体"/>
              </w:rPr>
              <w:t>营业收入（万元）</w:t>
            </w:r>
          </w:p>
        </w:tc>
        <w:tc>
          <w:tcPr>
            <w:tcW w:w="2295" w:type="dxa"/>
          </w:tcPr>
          <w:p w14:paraId="3DFBD9AD">
            <w:pPr>
              <w:keepNext w:val="0"/>
              <w:keepLines w:val="0"/>
              <w:suppressLineNumbers w:val="0"/>
              <w:spacing w:before="0" w:beforeAutospacing="0" w:after="0" w:afterAutospacing="0" w:line="360" w:lineRule="auto"/>
              <w:ind w:left="0" w:right="0"/>
              <w:jc w:val="center"/>
              <w:rPr>
                <w:rStyle w:val="22"/>
                <w:rFonts w:hint="default" w:ascii="宋体"/>
              </w:rPr>
            </w:pPr>
          </w:p>
        </w:tc>
        <w:tc>
          <w:tcPr>
            <w:tcW w:w="2283" w:type="dxa"/>
          </w:tcPr>
          <w:p w14:paraId="4432B9E3">
            <w:pPr>
              <w:keepNext w:val="0"/>
              <w:keepLines w:val="0"/>
              <w:suppressLineNumbers w:val="0"/>
              <w:spacing w:before="0" w:beforeAutospacing="0" w:after="0" w:afterAutospacing="0" w:line="360" w:lineRule="auto"/>
              <w:ind w:left="0" w:right="0"/>
              <w:jc w:val="center"/>
              <w:rPr>
                <w:rStyle w:val="22"/>
                <w:rFonts w:hint="default" w:ascii="宋体"/>
              </w:rPr>
            </w:pPr>
          </w:p>
        </w:tc>
        <w:tc>
          <w:tcPr>
            <w:tcW w:w="2283" w:type="dxa"/>
          </w:tcPr>
          <w:p w14:paraId="4F62481D">
            <w:pPr>
              <w:keepNext w:val="0"/>
              <w:keepLines w:val="0"/>
              <w:suppressLineNumbers w:val="0"/>
              <w:spacing w:before="0" w:beforeAutospacing="0" w:after="0" w:afterAutospacing="0" w:line="360" w:lineRule="auto"/>
              <w:ind w:left="0" w:right="0"/>
              <w:jc w:val="center"/>
              <w:rPr>
                <w:rStyle w:val="22"/>
                <w:rFonts w:hint="default" w:ascii="宋体"/>
              </w:rPr>
            </w:pPr>
          </w:p>
        </w:tc>
      </w:tr>
      <w:tr w14:paraId="0FC3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6CE512E2">
            <w:pPr>
              <w:keepNext w:val="0"/>
              <w:keepLines w:val="0"/>
              <w:suppressLineNumbers w:val="0"/>
              <w:spacing w:before="0" w:beforeAutospacing="0" w:after="0" w:afterAutospacing="0" w:line="360" w:lineRule="auto"/>
              <w:ind w:left="0" w:right="0"/>
              <w:jc w:val="center"/>
              <w:rPr>
                <w:rStyle w:val="22"/>
                <w:rFonts w:hint="default" w:ascii="宋体"/>
              </w:rPr>
            </w:pPr>
            <w:r>
              <w:rPr>
                <w:rStyle w:val="22"/>
                <w:rFonts w:hint="eastAsia" w:ascii="宋体"/>
              </w:rPr>
              <w:t>年底资产总值（万元）</w:t>
            </w:r>
          </w:p>
        </w:tc>
        <w:tc>
          <w:tcPr>
            <w:tcW w:w="2295" w:type="dxa"/>
          </w:tcPr>
          <w:p w14:paraId="2705D734">
            <w:pPr>
              <w:keepNext w:val="0"/>
              <w:keepLines w:val="0"/>
              <w:suppressLineNumbers w:val="0"/>
              <w:spacing w:before="0" w:beforeAutospacing="0" w:after="0" w:afterAutospacing="0" w:line="360" w:lineRule="auto"/>
              <w:ind w:left="0" w:right="0"/>
              <w:jc w:val="center"/>
              <w:rPr>
                <w:rStyle w:val="22"/>
                <w:rFonts w:hint="default" w:ascii="宋体"/>
              </w:rPr>
            </w:pPr>
          </w:p>
        </w:tc>
        <w:tc>
          <w:tcPr>
            <w:tcW w:w="2283" w:type="dxa"/>
          </w:tcPr>
          <w:p w14:paraId="7B95D771">
            <w:pPr>
              <w:keepNext w:val="0"/>
              <w:keepLines w:val="0"/>
              <w:suppressLineNumbers w:val="0"/>
              <w:spacing w:before="0" w:beforeAutospacing="0" w:after="0" w:afterAutospacing="0" w:line="360" w:lineRule="auto"/>
              <w:ind w:left="0" w:right="0"/>
              <w:jc w:val="center"/>
              <w:rPr>
                <w:rStyle w:val="22"/>
                <w:rFonts w:hint="default" w:ascii="宋体"/>
              </w:rPr>
            </w:pPr>
          </w:p>
        </w:tc>
        <w:tc>
          <w:tcPr>
            <w:tcW w:w="2283" w:type="dxa"/>
          </w:tcPr>
          <w:p w14:paraId="6C29FE73">
            <w:pPr>
              <w:keepNext w:val="0"/>
              <w:keepLines w:val="0"/>
              <w:suppressLineNumbers w:val="0"/>
              <w:spacing w:before="0" w:beforeAutospacing="0" w:after="0" w:afterAutospacing="0" w:line="360" w:lineRule="auto"/>
              <w:ind w:left="0" w:right="0"/>
              <w:jc w:val="center"/>
              <w:rPr>
                <w:rStyle w:val="22"/>
                <w:rFonts w:hint="default" w:ascii="宋体"/>
              </w:rPr>
            </w:pPr>
          </w:p>
        </w:tc>
      </w:tr>
      <w:tr w14:paraId="6A217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5CF9DDE6">
            <w:pPr>
              <w:keepNext w:val="0"/>
              <w:keepLines w:val="0"/>
              <w:suppressLineNumbers w:val="0"/>
              <w:spacing w:before="0" w:beforeAutospacing="0" w:after="0" w:afterAutospacing="0" w:line="360" w:lineRule="auto"/>
              <w:ind w:left="0" w:right="0"/>
              <w:jc w:val="center"/>
              <w:rPr>
                <w:rStyle w:val="22"/>
                <w:rFonts w:hint="default" w:ascii="宋体"/>
              </w:rPr>
            </w:pPr>
            <w:r>
              <w:rPr>
                <w:rStyle w:val="22"/>
                <w:rFonts w:hint="eastAsia" w:ascii="宋体"/>
              </w:rPr>
              <w:t>年底负债总值（万元）</w:t>
            </w:r>
          </w:p>
        </w:tc>
        <w:tc>
          <w:tcPr>
            <w:tcW w:w="2295" w:type="dxa"/>
          </w:tcPr>
          <w:p w14:paraId="4B0397D8">
            <w:pPr>
              <w:keepNext w:val="0"/>
              <w:keepLines w:val="0"/>
              <w:suppressLineNumbers w:val="0"/>
              <w:spacing w:before="0" w:beforeAutospacing="0" w:after="0" w:afterAutospacing="0" w:line="360" w:lineRule="auto"/>
              <w:ind w:left="0" w:right="0"/>
              <w:jc w:val="center"/>
              <w:rPr>
                <w:rStyle w:val="22"/>
                <w:rFonts w:hint="default" w:ascii="宋体"/>
              </w:rPr>
            </w:pPr>
          </w:p>
        </w:tc>
        <w:tc>
          <w:tcPr>
            <w:tcW w:w="2283" w:type="dxa"/>
          </w:tcPr>
          <w:p w14:paraId="7C97F7AB">
            <w:pPr>
              <w:keepNext w:val="0"/>
              <w:keepLines w:val="0"/>
              <w:suppressLineNumbers w:val="0"/>
              <w:spacing w:before="0" w:beforeAutospacing="0" w:after="0" w:afterAutospacing="0" w:line="360" w:lineRule="auto"/>
              <w:ind w:left="0" w:right="0"/>
              <w:jc w:val="center"/>
              <w:rPr>
                <w:rStyle w:val="22"/>
                <w:rFonts w:hint="default" w:ascii="宋体"/>
              </w:rPr>
            </w:pPr>
          </w:p>
        </w:tc>
        <w:tc>
          <w:tcPr>
            <w:tcW w:w="2283" w:type="dxa"/>
          </w:tcPr>
          <w:p w14:paraId="6F1E4F1A">
            <w:pPr>
              <w:keepNext w:val="0"/>
              <w:keepLines w:val="0"/>
              <w:suppressLineNumbers w:val="0"/>
              <w:spacing w:before="0" w:beforeAutospacing="0" w:after="0" w:afterAutospacing="0" w:line="360" w:lineRule="auto"/>
              <w:ind w:left="0" w:right="0"/>
              <w:jc w:val="center"/>
              <w:rPr>
                <w:rStyle w:val="22"/>
                <w:rFonts w:hint="default" w:ascii="宋体"/>
              </w:rPr>
            </w:pPr>
          </w:p>
        </w:tc>
      </w:tr>
      <w:tr w14:paraId="20C3C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2005117E">
            <w:pPr>
              <w:keepNext w:val="0"/>
              <w:keepLines w:val="0"/>
              <w:suppressLineNumbers w:val="0"/>
              <w:spacing w:before="0" w:beforeAutospacing="0" w:after="0" w:afterAutospacing="0" w:line="360" w:lineRule="auto"/>
              <w:ind w:left="0" w:right="0"/>
              <w:jc w:val="center"/>
              <w:rPr>
                <w:rStyle w:val="22"/>
                <w:rFonts w:hint="default" w:ascii="宋体"/>
              </w:rPr>
            </w:pPr>
            <w:r>
              <w:rPr>
                <w:rStyle w:val="22"/>
                <w:rFonts w:hint="eastAsia" w:ascii="宋体"/>
              </w:rPr>
              <w:t>资产负债率（</w:t>
            </w:r>
            <w:r>
              <w:rPr>
                <w:rStyle w:val="22"/>
                <w:rFonts w:hint="eastAsia" w:ascii="宋体"/>
                <w:u w:val="single"/>
              </w:rPr>
              <w:t xml:space="preserve">  </w:t>
            </w:r>
            <w:r>
              <w:rPr>
                <w:rStyle w:val="22"/>
                <w:rFonts w:hint="eastAsia" w:ascii="宋体"/>
              </w:rPr>
              <w:t>%）</w:t>
            </w:r>
          </w:p>
        </w:tc>
        <w:tc>
          <w:tcPr>
            <w:tcW w:w="2295" w:type="dxa"/>
          </w:tcPr>
          <w:p w14:paraId="59D59249">
            <w:pPr>
              <w:keepNext w:val="0"/>
              <w:keepLines w:val="0"/>
              <w:suppressLineNumbers w:val="0"/>
              <w:spacing w:before="0" w:beforeAutospacing="0" w:after="0" w:afterAutospacing="0" w:line="360" w:lineRule="auto"/>
              <w:ind w:left="0" w:right="0"/>
              <w:jc w:val="center"/>
              <w:rPr>
                <w:rStyle w:val="22"/>
                <w:rFonts w:hint="default" w:ascii="宋体"/>
              </w:rPr>
            </w:pPr>
          </w:p>
        </w:tc>
        <w:tc>
          <w:tcPr>
            <w:tcW w:w="2283" w:type="dxa"/>
          </w:tcPr>
          <w:p w14:paraId="77658D26">
            <w:pPr>
              <w:keepNext w:val="0"/>
              <w:keepLines w:val="0"/>
              <w:suppressLineNumbers w:val="0"/>
              <w:spacing w:before="0" w:beforeAutospacing="0" w:after="0" w:afterAutospacing="0" w:line="360" w:lineRule="auto"/>
              <w:ind w:left="0" w:right="0"/>
              <w:jc w:val="center"/>
              <w:rPr>
                <w:rStyle w:val="22"/>
                <w:rFonts w:hint="default" w:ascii="宋体"/>
              </w:rPr>
            </w:pPr>
          </w:p>
        </w:tc>
        <w:tc>
          <w:tcPr>
            <w:tcW w:w="2283" w:type="dxa"/>
          </w:tcPr>
          <w:p w14:paraId="61398051">
            <w:pPr>
              <w:keepNext w:val="0"/>
              <w:keepLines w:val="0"/>
              <w:suppressLineNumbers w:val="0"/>
              <w:spacing w:before="0" w:beforeAutospacing="0" w:after="0" w:afterAutospacing="0" w:line="360" w:lineRule="auto"/>
              <w:ind w:left="0" w:right="0"/>
              <w:jc w:val="center"/>
              <w:rPr>
                <w:rStyle w:val="22"/>
                <w:rFonts w:hint="default" w:ascii="宋体"/>
              </w:rPr>
            </w:pPr>
          </w:p>
        </w:tc>
      </w:tr>
      <w:tr w14:paraId="40993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401C6C1F">
            <w:pPr>
              <w:keepNext w:val="0"/>
              <w:keepLines w:val="0"/>
              <w:suppressLineNumbers w:val="0"/>
              <w:spacing w:before="0" w:beforeAutospacing="0" w:after="0" w:afterAutospacing="0" w:line="360" w:lineRule="auto"/>
              <w:ind w:left="0" w:right="0"/>
              <w:jc w:val="center"/>
              <w:rPr>
                <w:rStyle w:val="22"/>
                <w:rFonts w:hint="default" w:ascii="宋体"/>
              </w:rPr>
            </w:pPr>
            <w:r>
              <w:rPr>
                <w:rStyle w:val="22"/>
                <w:rFonts w:hint="eastAsia" w:ascii="宋体"/>
              </w:rPr>
              <w:t>净利润（万元）</w:t>
            </w:r>
          </w:p>
        </w:tc>
        <w:tc>
          <w:tcPr>
            <w:tcW w:w="2295" w:type="dxa"/>
          </w:tcPr>
          <w:p w14:paraId="5DFD30C5">
            <w:pPr>
              <w:keepNext w:val="0"/>
              <w:keepLines w:val="0"/>
              <w:suppressLineNumbers w:val="0"/>
              <w:spacing w:before="0" w:beforeAutospacing="0" w:after="0" w:afterAutospacing="0" w:line="360" w:lineRule="auto"/>
              <w:ind w:left="0" w:right="0"/>
              <w:jc w:val="center"/>
              <w:rPr>
                <w:rStyle w:val="22"/>
                <w:rFonts w:hint="default" w:ascii="宋体"/>
              </w:rPr>
            </w:pPr>
          </w:p>
        </w:tc>
        <w:tc>
          <w:tcPr>
            <w:tcW w:w="2283" w:type="dxa"/>
          </w:tcPr>
          <w:p w14:paraId="3C4BE586">
            <w:pPr>
              <w:keepNext w:val="0"/>
              <w:keepLines w:val="0"/>
              <w:suppressLineNumbers w:val="0"/>
              <w:spacing w:before="0" w:beforeAutospacing="0" w:after="0" w:afterAutospacing="0" w:line="360" w:lineRule="auto"/>
              <w:ind w:left="0" w:right="0"/>
              <w:jc w:val="center"/>
              <w:rPr>
                <w:rStyle w:val="22"/>
                <w:rFonts w:hint="default" w:ascii="宋体"/>
              </w:rPr>
            </w:pPr>
          </w:p>
        </w:tc>
        <w:tc>
          <w:tcPr>
            <w:tcW w:w="2283" w:type="dxa"/>
          </w:tcPr>
          <w:p w14:paraId="2A501879">
            <w:pPr>
              <w:keepNext w:val="0"/>
              <w:keepLines w:val="0"/>
              <w:suppressLineNumbers w:val="0"/>
              <w:spacing w:before="0" w:beforeAutospacing="0" w:after="0" w:afterAutospacing="0" w:line="360" w:lineRule="auto"/>
              <w:ind w:left="0" w:right="0"/>
              <w:jc w:val="center"/>
              <w:rPr>
                <w:rStyle w:val="22"/>
                <w:rFonts w:hint="default" w:ascii="宋体"/>
              </w:rPr>
            </w:pPr>
          </w:p>
        </w:tc>
      </w:tr>
      <w:tr w14:paraId="61593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039ED4BE">
            <w:pPr>
              <w:keepNext w:val="0"/>
              <w:keepLines w:val="0"/>
              <w:suppressLineNumbers w:val="0"/>
              <w:spacing w:before="0" w:beforeAutospacing="0" w:after="0" w:afterAutospacing="0" w:line="360" w:lineRule="auto"/>
              <w:ind w:left="0" w:right="0"/>
              <w:jc w:val="center"/>
              <w:rPr>
                <w:rStyle w:val="22"/>
                <w:rFonts w:hint="default" w:ascii="宋体"/>
              </w:rPr>
            </w:pPr>
            <w:r>
              <w:rPr>
                <w:rStyle w:val="22"/>
                <w:rFonts w:hint="eastAsia" w:ascii="宋体"/>
              </w:rPr>
              <w:t>未分配利润（万元）</w:t>
            </w:r>
          </w:p>
        </w:tc>
        <w:tc>
          <w:tcPr>
            <w:tcW w:w="2295" w:type="dxa"/>
          </w:tcPr>
          <w:p w14:paraId="4E7C236E">
            <w:pPr>
              <w:keepNext w:val="0"/>
              <w:keepLines w:val="0"/>
              <w:suppressLineNumbers w:val="0"/>
              <w:spacing w:before="0" w:beforeAutospacing="0" w:after="0" w:afterAutospacing="0" w:line="360" w:lineRule="auto"/>
              <w:ind w:left="0" w:right="0"/>
              <w:jc w:val="center"/>
              <w:rPr>
                <w:rStyle w:val="22"/>
                <w:rFonts w:hint="default" w:ascii="宋体"/>
              </w:rPr>
            </w:pPr>
          </w:p>
        </w:tc>
        <w:tc>
          <w:tcPr>
            <w:tcW w:w="2283" w:type="dxa"/>
          </w:tcPr>
          <w:p w14:paraId="1F06BBD2">
            <w:pPr>
              <w:keepNext w:val="0"/>
              <w:keepLines w:val="0"/>
              <w:suppressLineNumbers w:val="0"/>
              <w:spacing w:before="0" w:beforeAutospacing="0" w:after="0" w:afterAutospacing="0" w:line="360" w:lineRule="auto"/>
              <w:ind w:left="0" w:right="0"/>
              <w:jc w:val="center"/>
              <w:rPr>
                <w:rStyle w:val="22"/>
                <w:rFonts w:hint="default" w:ascii="宋体"/>
              </w:rPr>
            </w:pPr>
          </w:p>
        </w:tc>
        <w:tc>
          <w:tcPr>
            <w:tcW w:w="2283" w:type="dxa"/>
          </w:tcPr>
          <w:p w14:paraId="3F73A6A7">
            <w:pPr>
              <w:keepNext w:val="0"/>
              <w:keepLines w:val="0"/>
              <w:suppressLineNumbers w:val="0"/>
              <w:spacing w:before="0" w:beforeAutospacing="0" w:after="0" w:afterAutospacing="0" w:line="360" w:lineRule="auto"/>
              <w:ind w:left="0" w:right="0"/>
              <w:jc w:val="center"/>
              <w:rPr>
                <w:rStyle w:val="22"/>
                <w:rFonts w:hint="default" w:ascii="宋体"/>
              </w:rPr>
            </w:pPr>
          </w:p>
        </w:tc>
      </w:tr>
      <w:tr w14:paraId="70166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623BB73D">
            <w:pPr>
              <w:keepNext w:val="0"/>
              <w:keepLines w:val="0"/>
              <w:suppressLineNumbers w:val="0"/>
              <w:spacing w:before="0" w:beforeAutospacing="0" w:after="0" w:afterAutospacing="0" w:line="360" w:lineRule="auto"/>
              <w:ind w:left="0" w:right="0"/>
              <w:jc w:val="center"/>
              <w:rPr>
                <w:rFonts w:hint="default" w:ascii="宋体"/>
              </w:rPr>
            </w:pPr>
            <w:r>
              <w:rPr>
                <w:rStyle w:val="22"/>
                <w:rFonts w:hint="eastAsia" w:ascii="宋体"/>
              </w:rPr>
              <w:t>营运资金</w:t>
            </w:r>
          </w:p>
        </w:tc>
        <w:tc>
          <w:tcPr>
            <w:tcW w:w="2295" w:type="dxa"/>
          </w:tcPr>
          <w:p w14:paraId="3C762BC4">
            <w:pPr>
              <w:keepNext w:val="0"/>
              <w:keepLines w:val="0"/>
              <w:suppressLineNumbers w:val="0"/>
              <w:spacing w:before="0" w:beforeAutospacing="0" w:after="0" w:afterAutospacing="0" w:line="360" w:lineRule="auto"/>
              <w:ind w:left="0" w:right="0"/>
              <w:jc w:val="center"/>
              <w:rPr>
                <w:rStyle w:val="22"/>
                <w:rFonts w:hint="default" w:ascii="宋体"/>
              </w:rPr>
            </w:pPr>
          </w:p>
        </w:tc>
        <w:tc>
          <w:tcPr>
            <w:tcW w:w="2283" w:type="dxa"/>
          </w:tcPr>
          <w:p w14:paraId="58F775A2">
            <w:pPr>
              <w:keepNext w:val="0"/>
              <w:keepLines w:val="0"/>
              <w:suppressLineNumbers w:val="0"/>
              <w:spacing w:before="0" w:beforeAutospacing="0" w:after="0" w:afterAutospacing="0" w:line="360" w:lineRule="auto"/>
              <w:ind w:left="0" w:right="0"/>
              <w:jc w:val="center"/>
              <w:rPr>
                <w:rStyle w:val="22"/>
                <w:rFonts w:hint="default" w:ascii="宋体"/>
              </w:rPr>
            </w:pPr>
          </w:p>
        </w:tc>
        <w:tc>
          <w:tcPr>
            <w:tcW w:w="2283" w:type="dxa"/>
          </w:tcPr>
          <w:p w14:paraId="64C8A468">
            <w:pPr>
              <w:keepNext w:val="0"/>
              <w:keepLines w:val="0"/>
              <w:suppressLineNumbers w:val="0"/>
              <w:spacing w:before="0" w:beforeAutospacing="0" w:after="0" w:afterAutospacing="0" w:line="360" w:lineRule="auto"/>
              <w:ind w:left="0" w:right="0"/>
              <w:jc w:val="center"/>
              <w:rPr>
                <w:rStyle w:val="22"/>
                <w:rFonts w:hint="default" w:ascii="宋体"/>
              </w:rPr>
            </w:pPr>
          </w:p>
        </w:tc>
      </w:tr>
      <w:tr w14:paraId="39810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6" w:type="dxa"/>
          </w:tcPr>
          <w:p w14:paraId="28EF672E">
            <w:pPr>
              <w:keepNext w:val="0"/>
              <w:keepLines w:val="0"/>
              <w:suppressLineNumbers w:val="0"/>
              <w:spacing w:before="0" w:beforeAutospacing="0" w:after="0" w:afterAutospacing="0" w:line="360" w:lineRule="auto"/>
              <w:ind w:left="0" w:right="0"/>
              <w:jc w:val="center"/>
              <w:rPr>
                <w:rFonts w:hint="default" w:ascii="宋体"/>
              </w:rPr>
            </w:pPr>
            <w:r>
              <w:rPr>
                <w:rStyle w:val="22"/>
                <w:rFonts w:hint="eastAsia" w:ascii="宋体"/>
                <w:sz w:val="20"/>
                <w:szCs w:val="20"/>
              </w:rPr>
              <w:t>（本年营业收入-上年营业收入）÷上年营业收入</w:t>
            </w:r>
          </w:p>
        </w:tc>
        <w:tc>
          <w:tcPr>
            <w:tcW w:w="2295" w:type="dxa"/>
          </w:tcPr>
          <w:p w14:paraId="679CF291">
            <w:pPr>
              <w:keepNext w:val="0"/>
              <w:keepLines w:val="0"/>
              <w:suppressLineNumbers w:val="0"/>
              <w:spacing w:before="0" w:beforeAutospacing="0" w:after="0" w:afterAutospacing="0" w:line="360" w:lineRule="auto"/>
              <w:ind w:left="0" w:right="0"/>
              <w:jc w:val="center"/>
              <w:rPr>
                <w:rStyle w:val="22"/>
                <w:rFonts w:hint="default" w:ascii="宋体"/>
              </w:rPr>
            </w:pPr>
          </w:p>
        </w:tc>
        <w:tc>
          <w:tcPr>
            <w:tcW w:w="2283" w:type="dxa"/>
          </w:tcPr>
          <w:p w14:paraId="26E3D67B">
            <w:pPr>
              <w:keepNext w:val="0"/>
              <w:keepLines w:val="0"/>
              <w:suppressLineNumbers w:val="0"/>
              <w:spacing w:before="0" w:beforeAutospacing="0" w:after="0" w:afterAutospacing="0" w:line="360" w:lineRule="auto"/>
              <w:ind w:left="0" w:right="0"/>
              <w:jc w:val="center"/>
              <w:rPr>
                <w:rStyle w:val="22"/>
                <w:rFonts w:hint="default" w:ascii="宋体"/>
              </w:rPr>
            </w:pPr>
          </w:p>
        </w:tc>
        <w:tc>
          <w:tcPr>
            <w:tcW w:w="2283" w:type="dxa"/>
          </w:tcPr>
          <w:p w14:paraId="1D8E628B">
            <w:pPr>
              <w:keepNext w:val="0"/>
              <w:keepLines w:val="0"/>
              <w:suppressLineNumbers w:val="0"/>
              <w:spacing w:before="0" w:beforeAutospacing="0" w:after="0" w:afterAutospacing="0" w:line="360" w:lineRule="auto"/>
              <w:ind w:left="0" w:right="0"/>
              <w:jc w:val="center"/>
              <w:rPr>
                <w:rStyle w:val="22"/>
                <w:rFonts w:hint="default" w:ascii="宋体"/>
              </w:rPr>
            </w:pPr>
          </w:p>
        </w:tc>
      </w:tr>
    </w:tbl>
    <w:p w14:paraId="0C14CB11">
      <w:pPr>
        <w:widowControl/>
        <w:numPr>
          <w:ilvl w:val="0"/>
          <w:numId w:val="1"/>
        </w:numPr>
        <w:spacing w:line="360" w:lineRule="auto"/>
        <w:rPr>
          <w:kern w:val="0"/>
          <w:sz w:val="24"/>
          <w:szCs w:val="21"/>
          <w:lang w:bidi="en-US"/>
        </w:rPr>
      </w:pPr>
      <w:r>
        <w:rPr>
          <w:rFonts w:hint="eastAsia"/>
          <w:kern w:val="0"/>
          <w:sz w:val="24"/>
          <w:szCs w:val="21"/>
          <w:lang w:bidi="en-US"/>
        </w:rPr>
        <w:t>公司简介：包括但不限于公司发展史、企业文化、企业性质、规模和实力、营业水平、技术人员情况、在建项目情况、企业荣誉及认证、企业优势等；</w:t>
      </w:r>
    </w:p>
    <w:p w14:paraId="1B64CAB5">
      <w:pPr>
        <w:widowControl/>
        <w:numPr>
          <w:ilvl w:val="0"/>
          <w:numId w:val="1"/>
        </w:numPr>
        <w:spacing w:line="360" w:lineRule="auto"/>
        <w:rPr>
          <w:rFonts w:ascii="宋体"/>
          <w:kern w:val="0"/>
          <w:sz w:val="24"/>
          <w:szCs w:val="21"/>
          <w:lang w:bidi="en-US"/>
        </w:rPr>
      </w:pPr>
      <w:r>
        <w:rPr>
          <w:rFonts w:hint="eastAsia"/>
          <w:kern w:val="0"/>
          <w:sz w:val="24"/>
          <w:szCs w:val="21"/>
          <w:lang w:bidi="en-US"/>
        </w:rPr>
        <w:t>拟派项目经理注册建造师证书证及有效的安全考核合格</w:t>
      </w:r>
      <w:r>
        <w:rPr>
          <w:kern w:val="0"/>
          <w:sz w:val="24"/>
          <w:szCs w:val="21"/>
          <w:lang w:bidi="en-US"/>
        </w:rPr>
        <w:t>B</w:t>
      </w:r>
      <w:r>
        <w:rPr>
          <w:rFonts w:hint="eastAsia"/>
          <w:kern w:val="0"/>
          <w:sz w:val="24"/>
          <w:szCs w:val="21"/>
          <w:lang w:bidi="en-US"/>
        </w:rPr>
        <w:t>证，项目经理的履历简介、从业业绩</w:t>
      </w:r>
      <w:r>
        <w:rPr>
          <w:rFonts w:hint="eastAsia" w:ascii="宋体"/>
          <w:kern w:val="0"/>
          <w:sz w:val="24"/>
          <w:szCs w:val="21"/>
          <w:lang w:bidi="en-US"/>
        </w:rPr>
        <w:t>（要求中标后必须到场履职，未经招标人同意不得变更）</w:t>
      </w:r>
      <w:r>
        <w:rPr>
          <w:rFonts w:hint="eastAsia"/>
          <w:kern w:val="0"/>
          <w:sz w:val="24"/>
          <w:szCs w:val="21"/>
          <w:lang w:bidi="en-US"/>
        </w:rPr>
        <w:t>、近</w:t>
      </w:r>
      <w:r>
        <w:rPr>
          <w:kern w:val="0"/>
          <w:sz w:val="24"/>
          <w:szCs w:val="21"/>
          <w:lang w:bidi="en-US"/>
        </w:rPr>
        <w:t>6</w:t>
      </w:r>
      <w:r>
        <w:rPr>
          <w:rFonts w:hint="eastAsia"/>
          <w:kern w:val="0"/>
          <w:sz w:val="24"/>
          <w:szCs w:val="21"/>
          <w:lang w:bidi="en-US"/>
        </w:rPr>
        <w:t>个月社保缴纳证明；</w:t>
      </w:r>
    </w:p>
    <w:p w14:paraId="69E7EF0E">
      <w:pPr>
        <w:widowControl/>
        <w:numPr>
          <w:ilvl w:val="0"/>
          <w:numId w:val="1"/>
        </w:numPr>
        <w:spacing w:line="360" w:lineRule="auto"/>
        <w:rPr>
          <w:rFonts w:ascii="宋体"/>
          <w:kern w:val="0"/>
          <w:sz w:val="24"/>
          <w:szCs w:val="21"/>
          <w:lang w:bidi="en-US"/>
        </w:rPr>
      </w:pPr>
      <w:r>
        <w:rPr>
          <w:rFonts w:hint="eastAsia"/>
          <w:kern w:val="0"/>
          <w:sz w:val="24"/>
          <w:szCs w:val="21"/>
          <w:lang w:bidi="en-US"/>
        </w:rPr>
        <w:t>近</w:t>
      </w:r>
      <w:r>
        <w:rPr>
          <w:rFonts w:hint="eastAsia"/>
          <w:kern w:val="0"/>
          <w:sz w:val="24"/>
          <w:szCs w:val="21"/>
          <w:lang w:val="en-US" w:eastAsia="zh-CN" w:bidi="en-US"/>
        </w:rPr>
        <w:t>三</w:t>
      </w:r>
      <w:r>
        <w:rPr>
          <w:rFonts w:hint="eastAsia"/>
          <w:kern w:val="0"/>
          <w:sz w:val="24"/>
          <w:szCs w:val="21"/>
          <w:lang w:bidi="en-US"/>
        </w:rPr>
        <w:t>年类似项目业绩（满足</w:t>
      </w:r>
      <w:r>
        <w:rPr>
          <w:rFonts w:hint="eastAsia" w:ascii="宋体" w:hAnsi="宋体" w:cs="宋体"/>
          <w:kern w:val="0"/>
          <w:sz w:val="24"/>
          <w:lang w:bidi="en-US"/>
        </w:rPr>
        <w:t>投标人资格要求第（</w:t>
      </w:r>
      <w:r>
        <w:rPr>
          <w:rFonts w:hint="eastAsia" w:ascii="宋体" w:hAnsi="宋体" w:cs="宋体"/>
          <w:kern w:val="0"/>
          <w:sz w:val="24"/>
          <w:lang w:val="en-US" w:eastAsia="zh-CN" w:bidi="en-US"/>
        </w:rPr>
        <w:t>3</w:t>
      </w:r>
      <w:r>
        <w:rPr>
          <w:rFonts w:hint="eastAsia" w:ascii="宋体" w:hAnsi="宋体" w:cs="宋体"/>
          <w:kern w:val="0"/>
          <w:sz w:val="24"/>
          <w:lang w:bidi="en-US"/>
        </w:rPr>
        <w:t>）条</w:t>
      </w:r>
      <w:r>
        <w:rPr>
          <w:rFonts w:hint="eastAsia"/>
          <w:kern w:val="0"/>
          <w:sz w:val="24"/>
          <w:szCs w:val="21"/>
          <w:lang w:bidi="en-US"/>
        </w:rPr>
        <w:t>），要求提供合同及验收报告原件扫描件（数量不限，能报尽报，填写附件3）。</w:t>
      </w:r>
    </w:p>
    <w:p w14:paraId="7EB9748A">
      <w:pPr>
        <w:widowControl/>
        <w:numPr>
          <w:ilvl w:val="0"/>
          <w:numId w:val="1"/>
        </w:numPr>
        <w:spacing w:line="360" w:lineRule="auto"/>
        <w:rPr>
          <w:kern w:val="0"/>
          <w:sz w:val="24"/>
          <w:szCs w:val="21"/>
          <w:lang w:bidi="en-US"/>
        </w:rPr>
      </w:pPr>
      <w:r>
        <w:rPr>
          <w:rFonts w:hint="eastAsia"/>
          <w:kern w:val="0"/>
          <w:sz w:val="24"/>
          <w:szCs w:val="21"/>
          <w:lang w:bidi="en-US"/>
        </w:rPr>
        <w:t>唯一的法人授权委托书、授权人和被授权人身份证，及在本单位近</w:t>
      </w:r>
      <w:r>
        <w:rPr>
          <w:kern w:val="0"/>
          <w:sz w:val="24"/>
          <w:szCs w:val="21"/>
          <w:lang w:bidi="en-US"/>
        </w:rPr>
        <w:t>12</w:t>
      </w:r>
      <w:r>
        <w:rPr>
          <w:rFonts w:hint="eastAsia"/>
          <w:kern w:val="0"/>
          <w:sz w:val="24"/>
          <w:szCs w:val="21"/>
          <w:lang w:bidi="en-US"/>
        </w:rPr>
        <w:t>个月社保缴纳证明；</w:t>
      </w:r>
    </w:p>
    <w:p w14:paraId="3C149091">
      <w:pPr>
        <w:widowControl/>
        <w:numPr>
          <w:ilvl w:val="0"/>
          <w:numId w:val="1"/>
        </w:numPr>
        <w:spacing w:line="360" w:lineRule="auto"/>
        <w:rPr>
          <w:rFonts w:ascii="宋体" w:cs="宋体"/>
          <w:b/>
          <w:bCs/>
          <w:kern w:val="0"/>
          <w:sz w:val="24"/>
          <w:u w:val="single"/>
          <w:lang w:bidi="en-US"/>
        </w:rPr>
      </w:pPr>
      <w:r>
        <w:rPr>
          <w:rFonts w:hint="eastAsia"/>
          <w:kern w:val="0"/>
          <w:sz w:val="24"/>
          <w:szCs w:val="21"/>
          <w:lang w:bidi="en-US"/>
        </w:rPr>
        <w:t>联系人、联系方式、电子邮箱。</w:t>
      </w:r>
    </w:p>
    <w:p w14:paraId="72454510">
      <w:pPr>
        <w:adjustRightInd w:val="0"/>
        <w:snapToGrid w:val="0"/>
        <w:spacing w:line="360" w:lineRule="auto"/>
        <w:ind w:firstLine="482" w:firstLineChars="200"/>
        <w:rPr>
          <w:rFonts w:ascii="宋体" w:cs="宋体"/>
          <w:b/>
          <w:bCs/>
          <w:sz w:val="24"/>
        </w:rPr>
      </w:pPr>
      <w:r>
        <w:rPr>
          <w:rFonts w:hint="eastAsia" w:ascii="宋体" w:cs="宋体"/>
          <w:b/>
          <w:bCs/>
          <w:kern w:val="0"/>
          <w:sz w:val="24"/>
          <w:u w:val="single"/>
          <w:lang w:bidi="en-US"/>
        </w:rPr>
        <w:t>以上报名资料均要加盖公章。</w:t>
      </w:r>
    </w:p>
    <w:p w14:paraId="4F615DAF">
      <w:pPr>
        <w:widowControl/>
        <w:spacing w:line="360" w:lineRule="auto"/>
        <w:jc w:val="left"/>
        <w:rPr>
          <w:rFonts w:hint="eastAsia" w:ascii="宋体" w:hAnsi="宋体" w:cs="宋体"/>
          <w:kern w:val="0"/>
          <w:sz w:val="24"/>
          <w:lang w:bidi="en-US"/>
        </w:rPr>
      </w:pPr>
    </w:p>
    <w:p w14:paraId="26FFDE2A">
      <w:pPr>
        <w:rPr>
          <w:rFonts w:hint="eastAsia" w:asciiTheme="majorEastAsia" w:hAnsiTheme="majorEastAsia" w:eastAsiaTheme="majorEastAsia" w:cstheme="majorEastAsia"/>
          <w:b/>
          <w:bCs/>
          <w:sz w:val="24"/>
          <w:szCs w:val="24"/>
        </w:rPr>
      </w:pPr>
    </w:p>
    <w:p w14:paraId="05FEE92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14:paraId="52EB194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14:paraId="1F6DACB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7</w:t>
      </w:r>
      <w:r>
        <w:rPr>
          <w:rFonts w:hint="eastAsia" w:asciiTheme="majorEastAsia" w:hAnsiTheme="majorEastAsia" w:eastAsiaTheme="majorEastAsia" w:cstheme="majorEastAsia"/>
          <w:sz w:val="24"/>
          <w:szCs w:val="24"/>
        </w:rPr>
        <w:t xml:space="preserve"> 17:00:00 </w:t>
      </w:r>
    </w:p>
    <w:p w14:paraId="4759D9F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采购文件领取地点：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14:paraId="3A64C75D">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14:paraId="77BB3C9A">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p>
    <w:p w14:paraId="6010EC64">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13</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09</w:t>
      </w:r>
      <w:r>
        <w:rPr>
          <w:rFonts w:hint="eastAsia" w:asciiTheme="majorEastAsia" w:hAnsiTheme="majorEastAsia" w:eastAsiaTheme="majorEastAsia" w:cstheme="majorEastAsia"/>
          <w:sz w:val="24"/>
          <w:szCs w:val="24"/>
        </w:rPr>
        <w:t xml:space="preserve">:00:00 </w:t>
      </w:r>
    </w:p>
    <w:p w14:paraId="756D49F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lang w:val="en-US" w:eastAsia="zh-CN"/>
        </w:rPr>
        <w:t>重汽e采通</w:t>
      </w:r>
      <w:r>
        <w:rPr>
          <w:rFonts w:hint="eastAsia" w:asciiTheme="majorEastAsia" w:hAnsiTheme="majorEastAsia" w:eastAsiaTheme="majorEastAsia" w:cstheme="majorEastAsia"/>
          <w:sz w:val="24"/>
          <w:szCs w:val="24"/>
        </w:rPr>
        <w:t xml:space="preserve"> </w:t>
      </w:r>
    </w:p>
    <w:p w14:paraId="18836169">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14:paraId="47B3B62D">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13</w:t>
      </w:r>
      <w:r>
        <w:rPr>
          <w:rFonts w:hint="eastAsia" w:asciiTheme="majorEastAsia" w:hAnsiTheme="majorEastAsia" w:eastAsiaTheme="majorEastAsia" w:cstheme="majorEastAsia"/>
          <w:sz w:val="24"/>
          <w:szCs w:val="24"/>
        </w:rPr>
        <w:t xml:space="preserve"> 09:00:00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14:paraId="0B5A93ED">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Theme="majorEastAsia" w:hAnsiTheme="majorEastAsia" w:eastAsiaTheme="majorEastAsia" w:cstheme="majorEastAsia"/>
          <w:sz w:val="24"/>
          <w:szCs w:val="24"/>
        </w:rPr>
        <w:t>山东省济南市历城区华奥路777号重汽科技大厦</w:t>
      </w:r>
      <w:r>
        <w:rPr>
          <w:rFonts w:hint="eastAsia" w:asciiTheme="majorEastAsia" w:hAnsiTheme="majorEastAsia" w:eastAsiaTheme="majorEastAsia" w:cstheme="majorEastAsia"/>
          <w:sz w:val="24"/>
          <w:szCs w:val="24"/>
          <w:lang w:val="en-US" w:eastAsia="zh-CN"/>
        </w:rPr>
        <w:t>1307会议室</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lang w:val="en-US" w:eastAsia="zh-CN"/>
        </w:rPr>
        <w:t>暂定，以实际通知为准</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 xml:space="preserve"> </w:t>
      </w:r>
    </w:p>
    <w:p w14:paraId="4EB316E7">
      <w:pPr>
        <w:ind w:firstLine="481"/>
        <w:rPr>
          <w:rFonts w:hint="eastAsia" w:asciiTheme="majorEastAsia" w:hAnsiTheme="majorEastAsia" w:eastAsiaTheme="majorEastAsia" w:cstheme="majorEastAsia"/>
          <w:sz w:val="24"/>
          <w:szCs w:val="24"/>
        </w:rPr>
      </w:pPr>
    </w:p>
    <w:p w14:paraId="1FAC7C52">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14:paraId="0F0EE9FD">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14:paraId="7FBD0B0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14:paraId="533DA6B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CCCDBA5">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14:paraId="25BF107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0B4B17B3">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联系人：</w:t>
      </w:r>
      <w:r>
        <w:rPr>
          <w:rFonts w:hint="eastAsia" w:asciiTheme="majorEastAsia" w:hAnsiTheme="majorEastAsia" w:eastAsiaTheme="majorEastAsia" w:cstheme="majorEastAsia"/>
          <w:sz w:val="24"/>
          <w:szCs w:val="24"/>
          <w:lang w:val="en-US" w:eastAsia="zh-CN"/>
        </w:rPr>
        <w:t>杨淑超</w:t>
      </w:r>
    </w:p>
    <w:p w14:paraId="5BB75B62">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17860605820</w:t>
      </w:r>
    </w:p>
    <w:p w14:paraId="2BBBFC11">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技术联系人：刘圆</w:t>
      </w:r>
    </w:p>
    <w:p w14:paraId="18B2FB9A">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w:t>
      </w:r>
      <w:r>
        <w:rPr>
          <w:rStyle w:val="22"/>
          <w:rFonts w:hint="eastAsia" w:ascii="宋体" w:hAnsi="宋体"/>
          <w:szCs w:val="21"/>
        </w:rPr>
        <w:t>13953178362</w:t>
      </w:r>
    </w:p>
    <w:p w14:paraId="3B00F455">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61216B83">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5B93320D">
      <w:pPr>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14:paraId="317ABA5C">
      <w:pPr>
        <w:ind w:firstLine="480" w:firstLineChars="200"/>
        <w:rPr>
          <w:rFonts w:hint="eastAsia" w:asciiTheme="majorEastAsia" w:hAnsiTheme="majorEastAsia" w:eastAsiaTheme="majorEastAsia" w:cstheme="majorEastAsia"/>
          <w:sz w:val="24"/>
          <w:szCs w:val="24"/>
        </w:rPr>
      </w:pPr>
    </w:p>
    <w:p w14:paraId="232D9641">
      <w:pPr>
        <w:ind w:firstLine="480" w:firstLineChars="20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注：</w:t>
      </w:r>
    </w:p>
    <w:p w14:paraId="12B5F7B5">
      <w:pPr>
        <w:ind w:left="479" w:leftChars="228" w:firstLine="0" w:firstLineChars="0"/>
        <w:rPr>
          <w:rFonts w:hint="eastAsia" w:asciiTheme="majorEastAsia" w:hAnsiTheme="majorEastAsia" w:eastAsiaTheme="majorEastAsia" w:cstheme="majorEastAsia"/>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w:t>
      </w:r>
      <w:r>
        <w:rPr>
          <w:rFonts w:hint="eastAsia" w:ascii="宋体" w:hAnsi="宋体" w:eastAsia="宋体" w:cs="宋体"/>
          <w:sz w:val="24"/>
          <w:szCs w:val="24"/>
          <w:highlight w:val="yellow"/>
          <w:lang w:val="en-US" w:eastAsia="zh-CN"/>
        </w:rPr>
        <w:t>已注册的投标人注意去重汽e采通平台检查更新近三年的经营概况，财务信息更新到近三年，</w:t>
      </w:r>
      <w:r>
        <w:rPr>
          <w:rFonts w:ascii="宋体" w:hAnsi="宋体" w:eastAsia="宋体" w:cs="宋体"/>
          <w:sz w:val="24"/>
          <w:szCs w:val="24"/>
          <w:highlight w:val="yellow"/>
        </w:rPr>
        <w:t>确保信息真实、完整</w:t>
      </w:r>
      <w:r>
        <w:rPr>
          <w:rFonts w:hint="eastAsia" w:ascii="宋体" w:hAnsi="宋体" w:eastAsia="宋体" w:cs="宋体"/>
          <w:sz w:val="24"/>
          <w:szCs w:val="24"/>
          <w:highlight w:val="yellow"/>
          <w:lang w:val="en-US" w:eastAsia="zh-CN"/>
        </w:rPr>
        <w:t>且不许有空余，若因此造成应标不成功，后果由投标人自行承担。（更新路径：重汽e采通-供应商中心-供应商变更-供应商财务数据变更管理-右上角：发起变更；详见SRM系统供应商用户近三年财务数据更新附件3）</w:t>
      </w:r>
    </w:p>
    <w:p w14:paraId="07650A6C">
      <w:pPr>
        <w:ind w:left="479" w:leftChars="228" w:firstLine="0" w:firstLineChars="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②开标过程概述：</w:t>
      </w:r>
    </w:p>
    <w:p w14:paraId="7711A2F2">
      <w:pPr>
        <w:pStyle w:val="6"/>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唱标流程：技术标唱标→技术标澄清→技术标评分→商务标唱标→价格澄清→商务标评审；</w:t>
      </w:r>
    </w:p>
    <w:p w14:paraId="7AAF900C">
      <w:pPr>
        <w:pStyle w:val="6"/>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开标过程A级项目进行三轮开标会，B级项目进行两轮开标会</w:t>
      </w:r>
      <w:r>
        <w:rPr>
          <w:rFonts w:hint="eastAsia" w:hAnsi="宋体" w:eastAsia="宋体" w:cs="宋体"/>
          <w:kern w:val="2"/>
          <w:sz w:val="24"/>
          <w:szCs w:val="24"/>
          <w:lang w:val="en-US" w:eastAsia="zh-CN" w:bidi="ar-SA"/>
        </w:rPr>
        <w:t>，每轮均可能淘汰投标方</w:t>
      </w:r>
      <w:r>
        <w:rPr>
          <w:rFonts w:hint="eastAsia" w:ascii="宋体" w:hAnsi="宋体" w:eastAsia="宋体" w:cs="宋体"/>
          <w:kern w:val="2"/>
          <w:sz w:val="24"/>
          <w:szCs w:val="24"/>
          <w:lang w:val="en-US" w:eastAsia="zh-CN" w:bidi="ar-SA"/>
        </w:rPr>
        <w:t>。</w:t>
      </w:r>
    </w:p>
    <w:p w14:paraId="737B5701">
      <w:pPr>
        <w:pStyle w:val="6"/>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第一轮包括技术标答辩和商务标报价环节</w:t>
      </w:r>
      <w:r>
        <w:rPr>
          <w:rFonts w:hint="eastAsia" w:hAnsi="宋体" w:eastAsia="宋体" w:cs="宋体"/>
          <w:kern w:val="2"/>
          <w:sz w:val="24"/>
          <w:szCs w:val="24"/>
          <w:lang w:val="en-US" w:eastAsia="zh-CN" w:bidi="ar-SA"/>
        </w:rPr>
        <w:t>（报价次数没有具体限制，由专家组依据报价情况现场决定）</w:t>
      </w:r>
      <w:r>
        <w:rPr>
          <w:rFonts w:hint="eastAsia" w:ascii="宋体" w:hAnsi="宋体" w:eastAsia="宋体" w:cs="宋体"/>
          <w:kern w:val="2"/>
          <w:sz w:val="24"/>
          <w:szCs w:val="24"/>
          <w:lang w:val="en-US" w:eastAsia="zh-CN" w:bidi="ar-SA"/>
        </w:rPr>
        <w:t>。</w:t>
      </w:r>
    </w:p>
    <w:p w14:paraId="67EDCC87">
      <w:pPr>
        <w:pStyle w:val="6"/>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第二轮由专家组审查第一轮的技术和商务情况，并决定是否继续进行商务报价</w:t>
      </w:r>
      <w:r>
        <w:rPr>
          <w:rFonts w:hint="eastAsia" w:hAnsi="宋体" w:eastAsia="宋体" w:cs="宋体"/>
          <w:kern w:val="2"/>
          <w:sz w:val="24"/>
          <w:szCs w:val="24"/>
          <w:lang w:val="en-US" w:eastAsia="zh-CN" w:bidi="ar-SA"/>
        </w:rPr>
        <w:t>（报价次数没有具体限制，由专家组依据报价情况现场决定）</w:t>
      </w:r>
      <w:r>
        <w:rPr>
          <w:rFonts w:hint="eastAsia" w:ascii="宋体" w:hAnsi="宋体" w:eastAsia="宋体" w:cs="宋体"/>
          <w:kern w:val="2"/>
          <w:sz w:val="24"/>
          <w:szCs w:val="24"/>
          <w:lang w:val="en-US" w:eastAsia="zh-CN" w:bidi="ar-SA"/>
        </w:rPr>
        <w:t>。</w:t>
      </w:r>
    </w:p>
    <w:p w14:paraId="163DB8D7">
      <w:pPr>
        <w:pStyle w:val="6"/>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A级项目第三轮由专家组审查前两轮的技术和商务报价情况。</w:t>
      </w:r>
    </w:p>
    <w:p w14:paraId="41AA7F72">
      <w:pPr>
        <w:rPr>
          <w:rFonts w:hint="eastAsia" w:asciiTheme="majorEastAsia" w:hAnsiTheme="majorEastAsia" w:eastAsiaTheme="majorEastAsia" w:cstheme="majorEastAsia"/>
          <w:sz w:val="22"/>
          <w:szCs w:val="22"/>
          <w:highlight w:val="yellow"/>
          <w:lang w:val="en-US" w:eastAsia="zh-CN"/>
        </w:rPr>
      </w:pPr>
      <w:r>
        <w:rPr>
          <w:rFonts w:hint="eastAsia" w:asciiTheme="majorEastAsia" w:hAnsiTheme="majorEastAsia" w:eastAsiaTheme="majorEastAsia" w:cstheme="majorEastAsia"/>
          <w:sz w:val="22"/>
          <w:szCs w:val="22"/>
          <w:highlight w:val="yellow"/>
          <w:lang w:val="en-US" w:eastAsia="zh-CN"/>
        </w:rPr>
        <w:t>以上招标过程概述为项目联系人对中国重汽招标流程概述，投标人若投标即认可该招标流程。</w:t>
      </w:r>
    </w:p>
    <w:p w14:paraId="7C6170A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评审期间产生的技术</w:t>
      </w:r>
      <w:r>
        <w:rPr>
          <w:rFonts w:hint="eastAsia" w:ascii="宋体" w:hAnsi="宋体" w:eastAsia="宋体" w:cs="宋体"/>
          <w:color w:val="auto"/>
          <w:sz w:val="24"/>
          <w:szCs w:val="24"/>
          <w:highlight w:val="none"/>
          <w:lang w:val="en-US" w:eastAsia="zh-CN"/>
        </w:rPr>
        <w:t>和商务价格</w:t>
      </w:r>
      <w:r>
        <w:rPr>
          <w:rFonts w:hint="eastAsia" w:ascii="宋体" w:hAnsi="宋体" w:eastAsia="宋体" w:cs="宋体"/>
          <w:color w:val="auto"/>
          <w:sz w:val="24"/>
          <w:szCs w:val="24"/>
          <w:highlight w:val="none"/>
        </w:rPr>
        <w:t xml:space="preserve">澄清均由投标人在重汽e采通平台内完成提交；投标人均需自带笔记本电脑在重汽e采通平台自主进行投标和提交澄清函；投标和提交澄清函均有时间限制，超时未提交的按无效处理。  </w:t>
      </w:r>
    </w:p>
    <w:p w14:paraId="70331FFE">
      <w:pPr>
        <w:rPr>
          <w:rFonts w:hint="eastAsia" w:ascii="宋体" w:hAnsi="宋体" w:eastAsia="宋体" w:cs="宋体"/>
          <w:color w:val="auto"/>
          <w:sz w:val="24"/>
          <w:szCs w:val="24"/>
          <w:highlight w:val="none"/>
        </w:rPr>
      </w:pPr>
    </w:p>
    <w:p w14:paraId="41E4ABAF">
      <w:pPr>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 注意：每一轮在重汽e采通提供澄清报价均有时间限制，未能在规定时间内提交澄清函及报价的视为放弃本次投标。</w:t>
      </w:r>
    </w:p>
    <w:p w14:paraId="52D4E852">
      <w:pPr>
        <w:rPr>
          <w:rFonts w:hint="default" w:asciiTheme="majorEastAsia" w:hAnsiTheme="majorEastAsia" w:eastAsiaTheme="majorEastAsia" w:cstheme="majorEastAsia"/>
          <w:sz w:val="22"/>
          <w:szCs w:val="22"/>
          <w:highlight w:val="yellow"/>
          <w:lang w:val="en-US" w:eastAsia="zh-CN"/>
        </w:rPr>
      </w:pPr>
    </w:p>
    <w:p w14:paraId="1EBA84D7">
      <w:pPr>
        <w:pStyle w:val="6"/>
        <w:outlineLvl w:val="2"/>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附件1：</w:t>
      </w:r>
      <w:r>
        <w:rPr>
          <w:rFonts w:hint="eastAsia" w:hAnsi="宋体" w:eastAsia="宋体" w:cs="宋体"/>
          <w:b/>
          <w:bCs/>
          <w:color w:val="000000"/>
          <w:sz w:val="24"/>
          <w:szCs w:val="24"/>
        </w:rPr>
        <w:t>SRM非生产供应商注册操作手册</w:t>
      </w:r>
    </w:p>
    <w:p w14:paraId="7ED3B1FD">
      <w:pPr>
        <w:pStyle w:val="6"/>
        <w:rPr>
          <w:rFonts w:eastAsia="宋体"/>
        </w:rPr>
      </w:pPr>
    </w:p>
    <w:p w14:paraId="3EE9D9E5">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43B51465">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643BCE8">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12B13E29">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
                    <a:stretch>
                      <a:fillRect/>
                    </a:stretch>
                  </pic:blipFill>
                  <pic:spPr>
                    <a:xfrm>
                      <a:off x="0" y="0"/>
                      <a:ext cx="5760085" cy="2933377"/>
                    </a:xfrm>
                    <a:prstGeom prst="rect">
                      <a:avLst/>
                    </a:prstGeom>
                  </pic:spPr>
                </pic:pic>
              </a:graphicData>
            </a:graphic>
          </wp:inline>
        </w:drawing>
      </w:r>
    </w:p>
    <w:p w14:paraId="6EBB5DA4">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7E0A0978">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tretch>
                      <a:fillRect/>
                    </a:stretch>
                  </pic:blipFill>
                  <pic:spPr>
                    <a:xfrm>
                      <a:off x="0" y="0"/>
                      <a:ext cx="5760085" cy="2766707"/>
                    </a:xfrm>
                    <a:prstGeom prst="rect">
                      <a:avLst/>
                    </a:prstGeom>
                  </pic:spPr>
                </pic:pic>
              </a:graphicData>
            </a:graphic>
          </wp:inline>
        </w:drawing>
      </w:r>
    </w:p>
    <w:p w14:paraId="6BB10C6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E5F5181">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6"/>
                    <a:stretch>
                      <a:fillRect/>
                    </a:stretch>
                  </pic:blipFill>
                  <pic:spPr>
                    <a:xfrm>
                      <a:off x="0" y="0"/>
                      <a:ext cx="5760085" cy="2870054"/>
                    </a:xfrm>
                    <a:prstGeom prst="rect">
                      <a:avLst/>
                    </a:prstGeom>
                  </pic:spPr>
                </pic:pic>
              </a:graphicData>
            </a:graphic>
          </wp:inline>
        </w:drawing>
      </w:r>
    </w:p>
    <w:p w14:paraId="09CE7AC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A9BADEA">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7"/>
                    <a:stretch>
                      <a:fillRect/>
                    </a:stretch>
                  </pic:blipFill>
                  <pic:spPr>
                    <a:xfrm>
                      <a:off x="0" y="0"/>
                      <a:ext cx="5760085" cy="2853375"/>
                    </a:xfrm>
                    <a:prstGeom prst="rect">
                      <a:avLst/>
                    </a:prstGeom>
                  </pic:spPr>
                </pic:pic>
              </a:graphicData>
            </a:graphic>
          </wp:inline>
        </w:drawing>
      </w:r>
    </w:p>
    <w:p w14:paraId="40227B41">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3268A431">
      <w:pPr>
        <w:pStyle w:val="6"/>
      </w:pPr>
    </w:p>
    <w:p w14:paraId="20547785">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8"/>
                    <a:stretch>
                      <a:fillRect/>
                    </a:stretch>
                  </pic:blipFill>
                  <pic:spPr>
                    <a:xfrm>
                      <a:off x="0" y="0"/>
                      <a:ext cx="5760085" cy="2810122"/>
                    </a:xfrm>
                    <a:prstGeom prst="rect">
                      <a:avLst/>
                    </a:prstGeom>
                  </pic:spPr>
                </pic:pic>
              </a:graphicData>
            </a:graphic>
          </wp:inline>
        </w:drawing>
      </w:r>
    </w:p>
    <w:p w14:paraId="2564D118">
      <w:pPr>
        <w:pStyle w:val="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9"/>
                    <a:stretch>
                      <a:fillRect/>
                    </a:stretch>
                  </pic:blipFill>
                  <pic:spPr>
                    <a:xfrm>
                      <a:off x="0" y="0"/>
                      <a:ext cx="5760085" cy="2820042"/>
                    </a:xfrm>
                    <a:prstGeom prst="rect">
                      <a:avLst/>
                    </a:prstGeom>
                  </pic:spPr>
                </pic:pic>
              </a:graphicData>
            </a:graphic>
          </wp:inline>
        </w:drawing>
      </w:r>
    </w:p>
    <w:p w14:paraId="1E18A332">
      <w:pPr>
        <w:pStyle w:val="6"/>
      </w:pPr>
    </w:p>
    <w:p w14:paraId="1339601F">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4BE53A73">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649D3CC7">
      <w:pPr>
        <w:pStyle w:val="6"/>
      </w:pPr>
      <w:r>
        <w:rPr>
          <w:rFonts w:hint="eastAsia" w:hAnsi="宋体" w:eastAsia="宋体" w:cs="宋体"/>
          <w:b/>
          <w:bCs/>
          <w:color w:val="000000"/>
          <w:sz w:val="24"/>
          <w:szCs w:val="28"/>
          <w:highlight w:val="yellow"/>
        </w:rPr>
        <w:t>2.配套能力“供货类别”填“”，业务主管部门选择“”。</w:t>
      </w:r>
    </w:p>
    <w:p w14:paraId="39BF1441">
      <w:pPr>
        <w:pStyle w:val="6"/>
        <w:sectPr>
          <w:pgSz w:w="11906" w:h="16838"/>
          <w:pgMar w:top="1588" w:right="1418" w:bottom="1134" w:left="1418" w:header="851" w:footer="992" w:gutter="0"/>
          <w:cols w:space="720" w:num="1"/>
          <w:titlePg/>
          <w:docGrid w:type="lines" w:linePitch="312" w:charSpace="0"/>
        </w:sectPr>
      </w:pPr>
    </w:p>
    <w:p w14:paraId="345FF8CE">
      <w:pPr>
        <w:pStyle w:val="6"/>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2</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4591C9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7"/>
          <w:rFonts w:hint="eastAsia" w:ascii="宋体" w:hAnsi="宋体" w:eastAsia="宋体" w:cs="宋体"/>
          <w:sz w:val="24"/>
          <w:szCs w:val="24"/>
        </w:rPr>
        <w:t>https://ecaitong.sinotruk.com:8012/</w:t>
      </w:r>
      <w:r>
        <w:rPr>
          <w:rStyle w:val="17"/>
          <w:rFonts w:hint="eastAsia" w:ascii="宋体" w:hAnsi="宋体" w:eastAsia="宋体" w:cs="宋体"/>
          <w:sz w:val="24"/>
          <w:szCs w:val="24"/>
        </w:rPr>
        <w:fldChar w:fldCharType="end"/>
      </w:r>
    </w:p>
    <w:p w14:paraId="5499A19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871E9F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5F23FBC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AEACE63">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C74775F">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07A0C2C5">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0"/>
                    <a:stretch>
                      <a:fillRect/>
                    </a:stretch>
                  </pic:blipFill>
                  <pic:spPr>
                    <a:xfrm>
                      <a:off x="0" y="0"/>
                      <a:ext cx="5760085" cy="2269864"/>
                    </a:xfrm>
                    <a:prstGeom prst="rect">
                      <a:avLst/>
                    </a:prstGeom>
                  </pic:spPr>
                </pic:pic>
              </a:graphicData>
            </a:graphic>
          </wp:inline>
        </w:drawing>
      </w:r>
    </w:p>
    <w:p w14:paraId="0675A7EB">
      <w:pPr>
        <w:rPr>
          <w:rFonts w:hint="eastAsia"/>
        </w:rPr>
      </w:pPr>
    </w:p>
    <w:p w14:paraId="38006DB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0CAF80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469F0585">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1"/>
                    <a:stretch>
                      <a:fillRect/>
                    </a:stretch>
                  </pic:blipFill>
                  <pic:spPr>
                    <a:xfrm>
                      <a:off x="0" y="0"/>
                      <a:ext cx="5760085" cy="2125673"/>
                    </a:xfrm>
                    <a:prstGeom prst="rect">
                      <a:avLst/>
                    </a:prstGeom>
                  </pic:spPr>
                </pic:pic>
              </a:graphicData>
            </a:graphic>
          </wp:inline>
        </w:drawing>
      </w:r>
    </w:p>
    <w:p w14:paraId="33C3CC47">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9EAECCE">
      <w:pPr>
        <w:pStyle w:val="6"/>
      </w:pPr>
      <w:r>
        <w:rPr>
          <w:rFonts w:hint="eastAsia" w:hAnsi="宋体" w:eastAsia="宋体" w:cs="宋体"/>
          <w:color w:val="000000"/>
          <w:sz w:val="24"/>
          <w:szCs w:val="28"/>
          <w:highlight w:val="yellow"/>
        </w:rPr>
        <w:t>注意：系统内的投标报价单位为“万元”，如开标现场发现填错报价，即直接淘汰。</w:t>
      </w:r>
    </w:p>
    <w:p w14:paraId="0B3A8A8A">
      <w:pPr>
        <w:pStyle w:val="6"/>
        <w:bidi w:val="0"/>
      </w:pPr>
      <w: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2"/>
                    <a:stretch>
                      <a:fillRect/>
                    </a:stretch>
                  </pic:blipFill>
                  <pic:spPr>
                    <a:xfrm>
                      <a:off x="0" y="0"/>
                      <a:ext cx="5490210" cy="2669498"/>
                    </a:xfrm>
                    <a:prstGeom prst="rect">
                      <a:avLst/>
                    </a:prstGeom>
                  </pic:spPr>
                </pic:pic>
              </a:graphicData>
            </a:graphic>
          </wp:inline>
        </w:drawing>
      </w:r>
    </w:p>
    <w:p w14:paraId="5BED6A6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0342F58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049B1061">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6A74D3">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3"/>
                    <a:stretch>
                      <a:fillRect/>
                    </a:stretch>
                  </pic:blipFill>
                  <pic:spPr>
                    <a:xfrm>
                      <a:off x="0" y="0"/>
                      <a:ext cx="5490210" cy="1992743"/>
                    </a:xfrm>
                    <a:prstGeom prst="rect">
                      <a:avLst/>
                    </a:prstGeom>
                  </pic:spPr>
                </pic:pic>
              </a:graphicData>
            </a:graphic>
          </wp:inline>
        </w:drawing>
      </w:r>
    </w:p>
    <w:p w14:paraId="7B92FAE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BEFE23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2E99AAB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7457F59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1FB4CC8">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3D0BF3B6">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59A65D0E">
      <w:pPr>
        <w:pStyle w:val="6"/>
        <w:bidi w:val="0"/>
      </w:pPr>
      <w: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4"/>
                    <a:stretch>
                      <a:fillRect/>
                    </a:stretch>
                  </pic:blipFill>
                  <pic:spPr>
                    <a:xfrm>
                      <a:off x="0" y="0"/>
                      <a:ext cx="5490210" cy="2544669"/>
                    </a:xfrm>
                    <a:prstGeom prst="rect">
                      <a:avLst/>
                    </a:prstGeom>
                  </pic:spPr>
                </pic:pic>
              </a:graphicData>
            </a:graphic>
          </wp:inline>
        </w:drawing>
      </w:r>
    </w:p>
    <w:p w14:paraId="6741222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4A00133F">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1D38316">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0089D4D5">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5"/>
                    <a:stretch>
                      <a:fillRect/>
                    </a:stretch>
                  </pic:blipFill>
                  <pic:spPr>
                    <a:xfrm>
                      <a:off x="0" y="0"/>
                      <a:ext cx="5760085" cy="1956600"/>
                    </a:xfrm>
                    <a:prstGeom prst="rect">
                      <a:avLst/>
                    </a:prstGeom>
                  </pic:spPr>
                </pic:pic>
              </a:graphicData>
            </a:graphic>
          </wp:inline>
        </w:drawing>
      </w:r>
    </w:p>
    <w:p w14:paraId="67797A16">
      <w:pPr>
        <w:pStyle w:val="6"/>
        <w:rPr>
          <w:rFonts w:hint="eastAsia" w:hAnsi="宋体" w:eastAsia="宋体" w:cs="Times New Roman"/>
          <w:b/>
          <w:color w:val="000000"/>
          <w:sz w:val="24"/>
          <w:szCs w:val="24"/>
        </w:rPr>
      </w:pPr>
    </w:p>
    <w:p w14:paraId="5129D0CC">
      <w:pPr>
        <w:pStyle w:val="6"/>
        <w:rPr>
          <w:rFonts w:hint="eastAsia" w:hAnsi="宋体" w:eastAsia="宋体" w:cs="Times New Roman"/>
          <w:b/>
          <w:color w:val="000000"/>
          <w:sz w:val="24"/>
          <w:szCs w:val="24"/>
        </w:rPr>
      </w:pPr>
    </w:p>
    <w:p w14:paraId="09D63BEF">
      <w:pPr>
        <w:pStyle w:val="6"/>
        <w:bidi w:val="0"/>
        <w:rPr>
          <w:rFonts w:hint="eastAsia"/>
        </w:rPr>
      </w:pPr>
    </w:p>
    <w:p w14:paraId="6AE5B976">
      <w:pPr>
        <w:pStyle w:val="6"/>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3</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14:paraId="341BC1C8">
      <w:pPr>
        <w:pStyle w:val="6"/>
        <w:outlineLvl w:val="2"/>
      </w:pPr>
      <w:r>
        <w:drawing>
          <wp:inline distT="0" distB="0" distL="114300" distR="114300">
            <wp:extent cx="5749290" cy="2501265"/>
            <wp:effectExtent l="0" t="0" r="381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749290" cy="2501265"/>
                    </a:xfrm>
                    <a:prstGeom prst="rect">
                      <a:avLst/>
                    </a:prstGeom>
                    <a:noFill/>
                    <a:ln>
                      <a:noFill/>
                    </a:ln>
                  </pic:spPr>
                </pic:pic>
              </a:graphicData>
            </a:graphic>
          </wp:inline>
        </w:drawing>
      </w:r>
    </w:p>
    <w:p w14:paraId="747E0D4C">
      <w:pPr>
        <w:pStyle w:val="6"/>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5746750" cy="3303270"/>
                    </a:xfrm>
                    <a:prstGeom prst="rect">
                      <a:avLst/>
                    </a:prstGeom>
                    <a:noFill/>
                    <a:ln>
                      <a:noFill/>
                    </a:ln>
                  </pic:spPr>
                </pic:pic>
              </a:graphicData>
            </a:graphic>
          </wp:inline>
        </w:drawing>
      </w:r>
    </w:p>
    <w:p w14:paraId="6AEF790E">
      <w:pPr>
        <w:pStyle w:val="6"/>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9"/>
                    <a:stretch>
                      <a:fillRect/>
                    </a:stretch>
                  </pic:blipFill>
                  <pic:spPr>
                    <a:xfrm>
                      <a:off x="0" y="0"/>
                      <a:ext cx="5742940" cy="2925445"/>
                    </a:xfrm>
                    <a:prstGeom prst="rect">
                      <a:avLst/>
                    </a:prstGeom>
                    <a:noFill/>
                    <a:ln>
                      <a:noFill/>
                    </a:ln>
                  </pic:spPr>
                </pic:pic>
              </a:graphicData>
            </a:graphic>
          </wp:inline>
        </w:drawing>
      </w:r>
    </w:p>
    <w:p w14:paraId="1CB716DF"/>
    <w:p w14:paraId="4F82DEC1">
      <w:pPr>
        <w:rPr>
          <w:rFonts w:hint="eastAsia"/>
        </w:rPr>
      </w:pPr>
    </w:p>
    <w:p w14:paraId="4131D1A4">
      <w:pPr>
        <w:rPr>
          <w:rFonts w:hint="eastAsia" w:ascii="仿宋_GB2312" w:hAnsi="仿宋_GB2312" w:eastAsia="仿宋_GB2312" w:cs="仿宋_GB2312"/>
        </w:rPr>
      </w:pPr>
    </w:p>
    <w:p w14:paraId="42B959F3">
      <w:pPr>
        <w:rPr>
          <w:rFonts w:hint="eastAsia" w:ascii="仿宋_GB2312" w:hAnsi="仿宋_GB2312" w:eastAsia="仿宋_GB2312" w:cs="仿宋_GB2312"/>
        </w:rPr>
      </w:pPr>
    </w:p>
    <w:p w14:paraId="0FCB89C6">
      <w:pPr>
        <w:rPr>
          <w:rFonts w:hint="eastAsia" w:ascii="仿宋_GB2312" w:hAnsi="仿宋_GB2312" w:eastAsia="仿宋_GB2312" w:cs="仿宋_GB2312"/>
        </w:rPr>
      </w:pPr>
    </w:p>
    <w:p w14:paraId="3D1838AF">
      <w:pPr>
        <w:jc w:val="both"/>
      </w:pPr>
    </w:p>
    <w:p w14:paraId="30E3B809">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062B0FC5">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243912"/>
    <w:multiLevelType w:val="multilevel"/>
    <w:tmpl w:val="15243912"/>
    <w:lvl w:ilvl="0" w:tentative="0">
      <w:start w:val="1"/>
      <w:numFmt w:val="decimal"/>
      <w:suff w:val="nothing"/>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34A75"/>
    <w:rsid w:val="04301453"/>
    <w:rsid w:val="0C682624"/>
    <w:rsid w:val="0FAC178F"/>
    <w:rsid w:val="104C3089"/>
    <w:rsid w:val="15442CCD"/>
    <w:rsid w:val="17525C24"/>
    <w:rsid w:val="1A5F0822"/>
    <w:rsid w:val="1CBE329F"/>
    <w:rsid w:val="25331BE5"/>
    <w:rsid w:val="27315D1D"/>
    <w:rsid w:val="283D5FEB"/>
    <w:rsid w:val="2A4F355A"/>
    <w:rsid w:val="415E038C"/>
    <w:rsid w:val="44907102"/>
    <w:rsid w:val="453E76D3"/>
    <w:rsid w:val="47DD599F"/>
    <w:rsid w:val="48031288"/>
    <w:rsid w:val="48EF075C"/>
    <w:rsid w:val="4B7153F0"/>
    <w:rsid w:val="4E25790F"/>
    <w:rsid w:val="536770A5"/>
    <w:rsid w:val="57BF3EB6"/>
    <w:rsid w:val="594B58EE"/>
    <w:rsid w:val="5A1223DE"/>
    <w:rsid w:val="64753845"/>
    <w:rsid w:val="66D60058"/>
    <w:rsid w:val="6B0F2793"/>
    <w:rsid w:val="6C152603"/>
    <w:rsid w:val="77E571F5"/>
    <w:rsid w:val="79725424"/>
    <w:rsid w:val="7A5738E1"/>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Body Text"/>
    <w:basedOn w:val="1"/>
    <w:next w:val="5"/>
    <w:qFormat/>
    <w:uiPriority w:val="0"/>
    <w:rPr>
      <w:rFonts w:ascii="仿宋_GB2312" w:eastAsia="仿宋_GB2312" w:hAnsiTheme="minorHAnsi" w:cstheme="minorBidi"/>
      <w:sz w:val="32"/>
      <w:szCs w:val="22"/>
    </w:rPr>
  </w:style>
  <w:style w:type="paragraph" w:customStyle="1" w:styleId="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1">
    <w:name w:val="Strong"/>
    <w:basedOn w:val="10"/>
    <w:qFormat/>
    <w:uiPriority w:val="0"/>
    <w:rPr>
      <w:b/>
    </w:rPr>
  </w:style>
  <w:style w:type="character" w:styleId="12">
    <w:name w:val="FollowedHyperlink"/>
    <w:basedOn w:val="10"/>
    <w:qFormat/>
    <w:uiPriority w:val="0"/>
    <w:rPr>
      <w:color w:val="800080"/>
      <w:u w:val="none"/>
    </w:rPr>
  </w:style>
  <w:style w:type="character" w:styleId="13">
    <w:name w:val="HTML Definition"/>
    <w:basedOn w:val="10"/>
    <w:qFormat/>
    <w:uiPriority w:val="0"/>
  </w:style>
  <w:style w:type="character" w:styleId="14">
    <w:name w:val="HTML Typewriter"/>
    <w:basedOn w:val="10"/>
    <w:qFormat/>
    <w:uiPriority w:val="0"/>
    <w:rPr>
      <w:rFonts w:hint="default" w:ascii="monospace" w:hAnsi="monospace" w:eastAsia="monospace" w:cs="monospace"/>
      <w:sz w:val="20"/>
    </w:rPr>
  </w:style>
  <w:style w:type="character" w:styleId="15">
    <w:name w:val="HTML Acronym"/>
    <w:basedOn w:val="10"/>
    <w:qFormat/>
    <w:uiPriority w:val="0"/>
  </w:style>
  <w:style w:type="character" w:styleId="16">
    <w:name w:val="HTML Variable"/>
    <w:basedOn w:val="10"/>
    <w:qFormat/>
    <w:uiPriority w:val="0"/>
  </w:style>
  <w:style w:type="character" w:styleId="17">
    <w:name w:val="Hyperlink"/>
    <w:basedOn w:val="10"/>
    <w:qFormat/>
    <w:uiPriority w:val="0"/>
    <w:rPr>
      <w:color w:val="0000FF"/>
      <w:u w:val="none"/>
    </w:rPr>
  </w:style>
  <w:style w:type="character" w:styleId="18">
    <w:name w:val="HTML Code"/>
    <w:basedOn w:val="10"/>
    <w:qFormat/>
    <w:uiPriority w:val="0"/>
    <w:rPr>
      <w:rFonts w:hint="default" w:ascii="monospace" w:hAnsi="monospace" w:eastAsia="monospace" w:cs="monospace"/>
      <w:sz w:val="20"/>
    </w:rPr>
  </w:style>
  <w:style w:type="character" w:styleId="19">
    <w:name w:val="HTML Cite"/>
    <w:basedOn w:val="10"/>
    <w:qFormat/>
    <w:uiPriority w:val="0"/>
  </w:style>
  <w:style w:type="character" w:styleId="20">
    <w:name w:val="HTML Keyboard"/>
    <w:basedOn w:val="10"/>
    <w:qFormat/>
    <w:uiPriority w:val="0"/>
    <w:rPr>
      <w:rFonts w:ascii="monospace" w:hAnsi="monospace" w:eastAsia="monospace" w:cs="monospace"/>
      <w:sz w:val="20"/>
    </w:rPr>
  </w:style>
  <w:style w:type="character" w:styleId="21">
    <w:name w:val="HTML Sample"/>
    <w:basedOn w:val="10"/>
    <w:qFormat/>
    <w:uiPriority w:val="0"/>
    <w:rPr>
      <w:rFonts w:hint="default" w:ascii="monospace" w:hAnsi="monospace" w:eastAsia="monospace" w:cs="monospace"/>
    </w:rPr>
  </w:style>
  <w:style w:type="character" w:customStyle="1" w:styleId="22">
    <w:name w:val="NormalCharacter"/>
    <w:basedOn w:val="10"/>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1428</Words>
  <Characters>1581</Characters>
  <Lines>0</Lines>
  <Paragraphs>0</Paragraphs>
  <TotalTime>0</TotalTime>
  <ScaleCrop>false</ScaleCrop>
  <LinksUpToDate>false</LinksUpToDate>
  <CharactersWithSpaces>1769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Lenovo</cp:lastModifiedBy>
  <dcterms:modified xsi:type="dcterms:W3CDTF">2026-04-02T07:22:29Z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eyJoZGlkIjoiZWRkMzBjZWNmNjY5ZmRlYTM1NDA3YmNkODVkNWNhM2YiLCJ1c2VySWQiOiIxNzY1NTI4OTg1In0=</vt:lpwstr>
  </property>
  <property fmtid="{D5CDD505-2E9C-101B-9397-08002B2CF9AE}" pid="4" name="ICV">
    <vt:lpwstr>36BA767B9B1647D78DB7367FAC05A487_13</vt:lpwstr>
  </property>
</Properties>
</file>