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color w:val="auto"/>
          <w:sz w:val="44"/>
          <w:szCs w:val="44"/>
          <w:highlight w:val="none"/>
        </w:rPr>
      </w:pPr>
    </w:p>
    <w:p>
      <w:pPr>
        <w:jc w:val="center"/>
        <w:rPr>
          <w:rFonts w:asciiTheme="minorEastAsia" w:hAnsiTheme="minorEastAsia"/>
          <w:b/>
          <w:color w:val="auto"/>
          <w:sz w:val="44"/>
          <w:szCs w:val="44"/>
          <w:highlight w:val="none"/>
        </w:rPr>
      </w:pPr>
    </w:p>
    <w:p>
      <w:pPr>
        <w:spacing w:line="720" w:lineRule="auto"/>
        <w:ind w:right="280"/>
        <w:jc w:val="center"/>
        <w:rPr>
          <w:rFonts w:hint="eastAsia" w:ascii="宋体" w:hAnsi="宋体"/>
          <w:bCs/>
          <w:color w:val="auto"/>
          <w:sz w:val="48"/>
          <w:szCs w:val="48"/>
          <w:highlight w:val="none"/>
          <w:lang w:val="en-US" w:eastAsia="zh-CN"/>
        </w:rPr>
      </w:pPr>
      <w:r>
        <w:rPr>
          <w:rFonts w:hint="eastAsia" w:ascii="宋体" w:hAnsi="宋体"/>
          <w:bCs/>
          <w:color w:val="auto"/>
          <w:sz w:val="48"/>
          <w:szCs w:val="48"/>
          <w:highlight w:val="none"/>
          <w:lang w:val="en-US" w:eastAsia="zh-CN"/>
        </w:rPr>
        <w:t>中国重汽集团成都王牌商用车有限公司</w:t>
      </w:r>
    </w:p>
    <w:p>
      <w:pPr>
        <w:spacing w:line="720" w:lineRule="auto"/>
        <w:ind w:right="280"/>
        <w:jc w:val="center"/>
        <w:rPr>
          <w:rFonts w:hint="eastAsia" w:ascii="宋体" w:hAnsi="宋体"/>
          <w:bCs/>
          <w:color w:val="auto"/>
          <w:sz w:val="48"/>
          <w:szCs w:val="48"/>
          <w:highlight w:val="none"/>
          <w:lang w:val="en-US" w:eastAsia="zh-CN"/>
        </w:rPr>
      </w:pPr>
      <w:r>
        <w:rPr>
          <w:rFonts w:hint="default" w:ascii="宋体" w:hAnsi="宋体"/>
          <w:bCs/>
          <w:color w:val="auto"/>
          <w:sz w:val="48"/>
          <w:szCs w:val="48"/>
          <w:highlight w:val="none"/>
          <w:lang w:val="en-US" w:eastAsia="zh-CN"/>
        </w:rPr>
        <w:t>2026年度经销商数字化营销培训项目</w:t>
      </w: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rFonts w:hint="default" w:ascii="黑体" w:eastAsia="黑体"/>
          <w:b/>
          <w:color w:val="auto"/>
          <w:sz w:val="92"/>
          <w:szCs w:val="92"/>
          <w:highlight w:val="none"/>
          <w:lang w:val="en-US" w:eastAsia="zh-CN"/>
        </w:rPr>
      </w:pPr>
      <w:r>
        <w:rPr>
          <w:rFonts w:hint="eastAsia" w:ascii="黑体" w:eastAsia="黑体"/>
          <w:b/>
          <w:color w:val="auto"/>
          <w:sz w:val="92"/>
          <w:szCs w:val="92"/>
          <w:highlight w:val="none"/>
          <w:lang w:val="en-US" w:eastAsia="zh-CN"/>
        </w:rPr>
        <w:t>招 标 文 件</w:t>
      </w: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both"/>
        <w:rPr>
          <w:rFonts w:hint="eastAsia" w:eastAsiaTheme="minorEastAsia"/>
          <w:b/>
          <w:color w:val="auto"/>
          <w:sz w:val="32"/>
          <w:szCs w:val="32"/>
          <w:highlight w:val="none"/>
          <w:lang w:val="en-US" w:eastAsia="zh-CN"/>
        </w:rPr>
      </w:pPr>
    </w:p>
    <w:p>
      <w:pPr>
        <w:jc w:val="center"/>
        <w:rPr>
          <w:b/>
          <w:color w:val="auto"/>
          <w:sz w:val="32"/>
          <w:szCs w:val="32"/>
          <w:highlight w:val="none"/>
        </w:rPr>
      </w:pPr>
    </w:p>
    <w:p>
      <w:pPr>
        <w:ind w:firstLine="1285" w:firstLineChars="400"/>
        <w:jc w:val="left"/>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 xml:space="preserve">项目编号：CGZXCX-202603-5210 </w:t>
      </w:r>
    </w:p>
    <w:p>
      <w:pPr>
        <w:ind w:firstLine="1285" w:firstLineChars="400"/>
        <w:jc w:val="both"/>
        <w:rPr>
          <w:rFonts w:ascii="宋体" w:hAnsi="宋体" w:eastAsia="宋体"/>
          <w:b/>
          <w:color w:val="auto"/>
          <w:sz w:val="32"/>
          <w:szCs w:val="32"/>
          <w:highlight w:val="none"/>
        </w:rPr>
      </w:pPr>
      <w:r>
        <w:rPr>
          <w:rFonts w:hint="eastAsia" w:ascii="宋体" w:hAnsi="宋体" w:eastAsia="宋体"/>
          <w:b/>
          <w:color w:val="auto"/>
          <w:sz w:val="32"/>
          <w:szCs w:val="32"/>
          <w:highlight w:val="none"/>
        </w:rPr>
        <w:t>招</w:t>
      </w:r>
      <w:r>
        <w:rPr>
          <w:rFonts w:hint="eastAsia" w:ascii="宋体" w:hAnsi="宋体" w:eastAsia="宋体"/>
          <w:b/>
          <w:color w:val="auto"/>
          <w:sz w:val="32"/>
          <w:szCs w:val="32"/>
          <w:highlight w:val="none"/>
          <w:lang w:val="en-US" w:eastAsia="zh-CN"/>
        </w:rPr>
        <w:t xml:space="preserve"> </w:t>
      </w:r>
      <w:r>
        <w:rPr>
          <w:rFonts w:hint="eastAsia" w:ascii="宋体" w:hAnsi="宋体" w:eastAsia="宋体"/>
          <w:b/>
          <w:color w:val="auto"/>
          <w:sz w:val="32"/>
          <w:szCs w:val="32"/>
          <w:highlight w:val="none"/>
        </w:rPr>
        <w:t>标</w:t>
      </w:r>
      <w:r>
        <w:rPr>
          <w:rFonts w:hint="eastAsia" w:ascii="宋体" w:hAnsi="宋体" w:eastAsia="宋体"/>
          <w:b/>
          <w:color w:val="auto"/>
          <w:sz w:val="32"/>
          <w:szCs w:val="32"/>
          <w:highlight w:val="none"/>
          <w:lang w:val="en-US" w:eastAsia="zh-CN"/>
        </w:rPr>
        <w:t xml:space="preserve"> </w:t>
      </w:r>
      <w:r>
        <w:rPr>
          <w:rFonts w:hint="eastAsia" w:ascii="宋体" w:hAnsi="宋体" w:eastAsia="宋体"/>
          <w:b/>
          <w:color w:val="auto"/>
          <w:sz w:val="32"/>
          <w:szCs w:val="32"/>
          <w:highlight w:val="none"/>
        </w:rPr>
        <w:t>人：中国重汽集团</w:t>
      </w:r>
      <w:r>
        <w:rPr>
          <w:rFonts w:hint="eastAsia" w:ascii="宋体" w:hAnsi="宋体" w:eastAsia="宋体"/>
          <w:b/>
          <w:color w:val="auto"/>
          <w:sz w:val="32"/>
          <w:szCs w:val="32"/>
          <w:highlight w:val="none"/>
          <w:lang w:val="en-US" w:eastAsia="zh-CN"/>
        </w:rPr>
        <w:t>成都王牌</w:t>
      </w:r>
      <w:r>
        <w:rPr>
          <w:rFonts w:hint="eastAsia" w:ascii="宋体" w:hAnsi="宋体" w:eastAsia="宋体"/>
          <w:b/>
          <w:color w:val="auto"/>
          <w:sz w:val="32"/>
          <w:szCs w:val="32"/>
          <w:highlight w:val="none"/>
        </w:rPr>
        <w:t>商用车有限公司</w:t>
      </w:r>
    </w:p>
    <w:p>
      <w:pPr>
        <w:ind w:firstLine="1285" w:firstLineChars="400"/>
        <w:jc w:val="left"/>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 xml:space="preserve">日 </w:t>
      </w:r>
      <w:r>
        <w:rPr>
          <w:rFonts w:hint="eastAsia" w:ascii="宋体" w:hAnsi="宋体" w:eastAsia="宋体"/>
          <w:b/>
          <w:color w:val="auto"/>
          <w:sz w:val="32"/>
          <w:szCs w:val="32"/>
          <w:highlight w:val="none"/>
          <w:lang w:val="en-US" w:eastAsia="zh-CN"/>
        </w:rPr>
        <w:t xml:space="preserve">  </w:t>
      </w:r>
      <w:r>
        <w:rPr>
          <w:rFonts w:hint="eastAsia" w:ascii="宋体" w:hAnsi="宋体" w:eastAsia="宋体"/>
          <w:b/>
          <w:color w:val="auto"/>
          <w:sz w:val="32"/>
          <w:szCs w:val="32"/>
          <w:highlight w:val="none"/>
        </w:rPr>
        <w:t xml:space="preserve"> 期：二〇二</w:t>
      </w:r>
      <w:r>
        <w:rPr>
          <w:rFonts w:hint="eastAsia" w:ascii="宋体" w:hAnsi="宋体" w:eastAsia="宋体"/>
          <w:b/>
          <w:color w:val="auto"/>
          <w:sz w:val="32"/>
          <w:szCs w:val="32"/>
          <w:highlight w:val="none"/>
          <w:lang w:eastAsia="zh-CN"/>
        </w:rPr>
        <w:t>六</w:t>
      </w:r>
      <w:r>
        <w:rPr>
          <w:rFonts w:hint="eastAsia" w:ascii="宋体" w:hAnsi="宋体" w:eastAsia="宋体"/>
          <w:b/>
          <w:color w:val="auto"/>
          <w:sz w:val="32"/>
          <w:szCs w:val="32"/>
          <w:highlight w:val="none"/>
        </w:rPr>
        <w:t>年</w:t>
      </w:r>
      <w:r>
        <w:rPr>
          <w:rFonts w:hint="eastAsia" w:ascii="宋体" w:hAnsi="宋体" w:eastAsia="宋体"/>
          <w:b/>
          <w:color w:val="auto"/>
          <w:sz w:val="32"/>
          <w:szCs w:val="32"/>
          <w:highlight w:val="none"/>
          <w:lang w:val="en-US" w:eastAsia="zh-CN"/>
        </w:rPr>
        <w:t>四</w:t>
      </w:r>
      <w:r>
        <w:rPr>
          <w:rFonts w:hint="eastAsia" w:ascii="宋体" w:hAnsi="宋体" w:eastAsia="宋体"/>
          <w:b/>
          <w:color w:val="auto"/>
          <w:sz w:val="32"/>
          <w:szCs w:val="32"/>
          <w:highlight w:val="none"/>
        </w:rPr>
        <w:t>月</w:t>
      </w:r>
    </w:p>
    <w:p>
      <w:pPr>
        <w:pStyle w:val="3"/>
        <w:rPr>
          <w:color w:val="auto"/>
        </w:rPr>
      </w:pPr>
    </w:p>
    <w:p>
      <w:pPr>
        <w:keepNext w:val="0"/>
        <w:keepLines w:val="0"/>
        <w:widowControl/>
        <w:numPr>
          <w:ilvl w:val="0"/>
          <w:numId w:val="2"/>
        </w:numPr>
        <w:suppressLineNumbers w:val="0"/>
        <w:jc w:val="center"/>
        <w:rPr>
          <w:rFonts w:hint="eastAsia" w:ascii="黑体" w:hAnsi="黑体" w:eastAsia="黑体" w:cs="黑体"/>
          <w:b/>
          <w:bCs/>
          <w:color w:val="auto"/>
          <w:kern w:val="0"/>
          <w:sz w:val="36"/>
          <w:szCs w:val="36"/>
          <w:highlight w:val="none"/>
          <w:lang w:val="en-US" w:eastAsia="zh-CN" w:bidi="ar"/>
        </w:rPr>
      </w:pPr>
      <w:r>
        <w:rPr>
          <w:rFonts w:hint="eastAsia" w:ascii="黑体" w:hAnsi="黑体" w:eastAsia="黑体" w:cs="黑体"/>
          <w:b/>
          <w:bCs/>
          <w:color w:val="auto"/>
          <w:kern w:val="0"/>
          <w:sz w:val="36"/>
          <w:szCs w:val="36"/>
          <w:highlight w:val="none"/>
          <w:lang w:val="en-US" w:eastAsia="zh-CN" w:bidi="ar"/>
        </w:rPr>
        <w:t>招标公告</w:t>
      </w:r>
    </w:p>
    <w:p>
      <w:pPr>
        <w:widowControl/>
        <w:numPr>
          <w:ilvl w:val="0"/>
          <w:numId w:val="3"/>
        </w:numPr>
        <w:spacing w:line="360" w:lineRule="auto"/>
        <w:jc w:val="lef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项目名称</w:t>
      </w:r>
    </w:p>
    <w:p>
      <w:pPr>
        <w:pStyle w:val="3"/>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中国重汽集团成都王牌商用车有限公司</w:t>
      </w:r>
      <w:r>
        <w:rPr>
          <w:rFonts w:hint="eastAsia" w:asciiTheme="minorEastAsia" w:hAnsiTheme="minorEastAsia" w:cstheme="minorEastAsia"/>
          <w:color w:val="auto"/>
          <w:kern w:val="0"/>
          <w:sz w:val="24"/>
          <w:szCs w:val="24"/>
          <w:highlight w:val="none"/>
          <w:lang w:val="en-US" w:eastAsia="zh-CN" w:bidi="ar"/>
        </w:rPr>
        <w:t>2026年度经销商数字化营销培训项目</w:t>
      </w:r>
    </w:p>
    <w:p>
      <w:pPr>
        <w:widowControl/>
        <w:numPr>
          <w:ilvl w:val="0"/>
          <w:numId w:val="3"/>
        </w:numPr>
        <w:spacing w:line="360" w:lineRule="auto"/>
        <w:jc w:val="left"/>
        <w:rPr>
          <w:rFonts w:hint="default"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项目概况</w:t>
      </w:r>
    </w:p>
    <w:p>
      <w:pPr>
        <w:pStyle w:val="8"/>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360" w:lineRule="auto"/>
        <w:ind w:left="150" w:leftChars="0" w:right="0" w:rightChars="0" w:firstLine="48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项目背景</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随着移动互联网流量持续向短视频平台倾斜，抖音、快手等渠道已成为消费者了解产品信息、影响购车决策的核心触点。为应对市场变化，有效提升经销商在新媒体领域的自主运营能力与销售转化效率，聚焦短视频内容生产与直播运营能力提升</w:t>
      </w:r>
      <w:r>
        <w:rPr>
          <w:rFonts w:hint="eastAsia" w:ascii="宋体" w:hAnsi="宋体" w:cs="宋体"/>
          <w:sz w:val="24"/>
          <w:szCs w:val="24"/>
          <w:lang w:val="en-US" w:eastAsia="zh-CN"/>
        </w:rPr>
        <w:t>，</w:t>
      </w:r>
      <w:r>
        <w:rPr>
          <w:rFonts w:hint="eastAsia"/>
        </w:rPr>
        <w:t>特进行本次培训项目招标</w:t>
      </w:r>
      <w:r>
        <w:rPr>
          <w:rFonts w:hint="eastAsia" w:ascii="宋体" w:hAnsi="宋体" w:eastAsia="宋体" w:cs="宋体"/>
          <w:sz w:val="24"/>
          <w:szCs w:val="24"/>
          <w:lang w:val="en-US" w:eastAsia="zh-CN"/>
        </w:rPr>
        <w:t>。</w:t>
      </w:r>
    </w:p>
    <w:p>
      <w:pPr>
        <w:pStyle w:val="8"/>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360" w:lineRule="auto"/>
        <w:ind w:left="150" w:leftChars="0" w:right="0" w:rightChars="0" w:firstLine="480" w:firstLineChars="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宋体" w:hAnsi="宋体" w:cs="宋体"/>
          <w:sz w:val="24"/>
          <w:szCs w:val="24"/>
          <w:lang w:val="en-US" w:eastAsia="zh-CN"/>
        </w:rPr>
        <w:t>培训对象</w:t>
      </w:r>
    </w:p>
    <w:p>
      <w:pPr>
        <w:pStyle w:val="8"/>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招标人销售团队：招标人一线销售人员和业务支持部门人员</w:t>
      </w:r>
    </w:p>
    <w:p>
      <w:pPr>
        <w:pStyle w:val="8"/>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经销商销售团队：公司副总及以上人员、业务部门负责人、销售人员、推广人员、市场人员、服务人员等。</w:t>
      </w:r>
    </w:p>
    <w:p>
      <w:pPr>
        <w:pStyle w:val="8"/>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360" w:lineRule="auto"/>
        <w:ind w:left="150" w:leftChars="0" w:right="0" w:rightChars="0" w:firstLine="480" w:firstLine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培训内容</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本次项目拟</w:t>
      </w:r>
      <w:r>
        <w:rPr>
          <w:rFonts w:hint="eastAsia" w:ascii="宋体" w:hAnsi="宋体" w:eastAsia="宋体" w:cs="宋体"/>
          <w:kern w:val="2"/>
          <w:sz w:val="24"/>
          <w:szCs w:val="24"/>
          <w:lang w:val="en-US" w:eastAsia="zh-CN" w:bidi="ar-SA"/>
        </w:rPr>
        <w:t>采用“理论赋能+实操特训+陪跑答疑”的模式进行现场教学，</w:t>
      </w:r>
      <w:r>
        <w:rPr>
          <w:rFonts w:hint="eastAsia" w:asciiTheme="minorEastAsia" w:hAnsiTheme="minorEastAsia" w:cstheme="minorEastAsia"/>
          <w:color w:val="auto"/>
          <w:kern w:val="0"/>
          <w:sz w:val="24"/>
          <w:szCs w:val="24"/>
          <w:highlight w:val="none"/>
          <w:lang w:val="en-US" w:eastAsia="zh-CN" w:bidi="ar"/>
        </w:rPr>
        <w:t>为保障上述培训项目高效有序，投标人须配套提供以下服务内容：</w:t>
      </w:r>
    </w:p>
    <w:p>
      <w:pPr>
        <w:pStyle w:val="8"/>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编制针对本项目的培训计划，并按计划实施相关课程开发、培训辅导及效果评估。</w:t>
      </w:r>
      <w:r>
        <w:rPr>
          <w:rFonts w:hint="eastAsia" w:ascii="宋体" w:hAnsi="宋体" w:cs="宋体"/>
          <w:kern w:val="2"/>
          <w:sz w:val="24"/>
          <w:szCs w:val="24"/>
          <w:lang w:val="en-US" w:eastAsia="zh-CN" w:bidi="ar-SA"/>
        </w:rPr>
        <w:t>培训内容包含但不限于：</w:t>
      </w:r>
      <w:r>
        <w:rPr>
          <w:rFonts w:hint="eastAsia" w:ascii="宋体" w:hAnsi="宋体" w:eastAsia="宋体" w:cs="宋体"/>
          <w:kern w:val="2"/>
          <w:sz w:val="24"/>
          <w:szCs w:val="24"/>
          <w:lang w:val="en-US" w:eastAsia="zh-CN" w:bidi="ar-SA"/>
        </w:rPr>
        <w:t>平台规则解读、内容趋势分析、</w:t>
      </w:r>
      <w:r>
        <w:rPr>
          <w:rFonts w:hint="eastAsia" w:ascii="宋体" w:hAnsi="宋体" w:cs="宋体"/>
          <w:kern w:val="2"/>
          <w:sz w:val="24"/>
          <w:szCs w:val="24"/>
          <w:lang w:val="en-US" w:eastAsia="zh-CN" w:bidi="ar-SA"/>
        </w:rPr>
        <w:t>拍摄</w:t>
      </w:r>
      <w:r>
        <w:rPr>
          <w:rFonts w:hint="eastAsia" w:ascii="宋体" w:hAnsi="宋体" w:eastAsia="宋体" w:cs="宋体"/>
          <w:kern w:val="2"/>
          <w:sz w:val="24"/>
          <w:szCs w:val="24"/>
          <w:lang w:val="en-US" w:eastAsia="zh-CN" w:bidi="ar-SA"/>
        </w:rPr>
        <w:t>剪辑教学</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账号诊断、爆款脚本拆解、直播模拟演练</w:t>
      </w:r>
      <w:r>
        <w:rPr>
          <w:rFonts w:hint="eastAsia" w:ascii="宋体" w:hAnsi="宋体" w:cs="宋体"/>
          <w:kern w:val="2"/>
          <w:sz w:val="24"/>
          <w:szCs w:val="24"/>
          <w:lang w:val="en-US" w:eastAsia="zh-CN" w:bidi="ar-SA"/>
        </w:rPr>
        <w:t>、实战特训、经销商账号</w:t>
      </w:r>
      <w:r>
        <w:rPr>
          <w:rFonts w:hint="eastAsia" w:ascii="宋体" w:hAnsi="宋体" w:eastAsia="宋体" w:cs="宋体"/>
          <w:kern w:val="2"/>
          <w:sz w:val="24"/>
          <w:szCs w:val="24"/>
          <w:lang w:val="en-US" w:eastAsia="zh-CN" w:bidi="ar-SA"/>
        </w:rPr>
        <w:t>案例</w:t>
      </w:r>
      <w:r>
        <w:rPr>
          <w:rFonts w:hint="eastAsia" w:ascii="宋体" w:hAnsi="宋体" w:cs="宋体"/>
          <w:kern w:val="2"/>
          <w:sz w:val="24"/>
          <w:szCs w:val="24"/>
          <w:lang w:val="en-US" w:eastAsia="zh-CN" w:bidi="ar-SA"/>
        </w:rPr>
        <w:t>拆解及</w:t>
      </w:r>
      <w:r>
        <w:rPr>
          <w:rFonts w:hint="eastAsia" w:ascii="宋体" w:hAnsi="宋体" w:eastAsia="宋体" w:cs="宋体"/>
          <w:kern w:val="2"/>
          <w:sz w:val="24"/>
          <w:szCs w:val="24"/>
          <w:lang w:val="en-US" w:eastAsia="zh-CN" w:bidi="ar-SA"/>
        </w:rPr>
        <w:t>复盘</w:t>
      </w:r>
      <w:r>
        <w:rPr>
          <w:rFonts w:hint="eastAsia" w:ascii="宋体" w:hAnsi="宋体" w:cs="宋体"/>
          <w:kern w:val="2"/>
          <w:sz w:val="24"/>
          <w:szCs w:val="24"/>
          <w:lang w:val="en-US" w:eastAsia="zh-CN" w:bidi="ar-SA"/>
        </w:rPr>
        <w:t>等。</w:t>
      </w:r>
    </w:p>
    <w:p>
      <w:pPr>
        <w:pStyle w:val="8"/>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kern w:val="2"/>
          <w:sz w:val="24"/>
          <w:szCs w:val="24"/>
          <w:lang w:val="en-US" w:eastAsia="zh-CN" w:bidi="ar-SA"/>
        </w:rPr>
      </w:pPr>
      <w:r>
        <w:rPr>
          <w:rFonts w:hint="eastAsia" w:asciiTheme="minorEastAsia" w:hAnsiTheme="minorEastAsia" w:cstheme="minorEastAsia"/>
          <w:color w:val="auto"/>
          <w:kern w:val="0"/>
          <w:sz w:val="24"/>
          <w:szCs w:val="24"/>
          <w:highlight w:val="none"/>
          <w:lang w:val="en-US" w:eastAsia="zh-CN" w:bidi="ar"/>
        </w:rPr>
        <w:t>设立营销咨询顾问1名，</w:t>
      </w:r>
      <w:r>
        <w:rPr>
          <w:rFonts w:hint="eastAsia" w:ascii="宋体" w:hAnsi="宋体" w:eastAsia="宋体" w:cs="宋体"/>
          <w:kern w:val="2"/>
          <w:sz w:val="24"/>
          <w:szCs w:val="24"/>
          <w:lang w:val="en-US" w:eastAsia="zh-CN" w:bidi="ar-SA"/>
        </w:rPr>
        <w:t>建立导师答疑机制，</w:t>
      </w:r>
      <w:r>
        <w:rPr>
          <w:rFonts w:hint="eastAsia" w:asciiTheme="minorEastAsia" w:hAnsiTheme="minorEastAsia" w:cstheme="minorEastAsia"/>
          <w:color w:val="auto"/>
          <w:kern w:val="0"/>
          <w:sz w:val="24"/>
          <w:szCs w:val="24"/>
          <w:highlight w:val="none"/>
          <w:lang w:val="en-US" w:eastAsia="zh-CN" w:bidi="ar"/>
        </w:rPr>
        <w:t>为招标人提供日常营销业务咨询，</w:t>
      </w:r>
      <w:r>
        <w:rPr>
          <w:rFonts w:hint="eastAsia" w:ascii="宋体" w:hAnsi="宋体" w:eastAsia="宋体" w:cs="宋体"/>
          <w:kern w:val="2"/>
          <w:sz w:val="24"/>
          <w:szCs w:val="24"/>
          <w:lang w:val="en-US" w:eastAsia="zh-CN" w:bidi="ar-SA"/>
        </w:rPr>
        <w:t>定期提供选题建议与数据复盘支持</w:t>
      </w:r>
      <w:r>
        <w:rPr>
          <w:rFonts w:hint="eastAsia" w:ascii="宋体" w:hAnsi="宋体" w:cs="宋体"/>
          <w:kern w:val="2"/>
          <w:sz w:val="24"/>
          <w:szCs w:val="24"/>
          <w:lang w:val="en-US" w:eastAsia="zh-CN" w:bidi="ar-SA"/>
        </w:rPr>
        <w:t>，服务时长为培训结束后一个自然月</w:t>
      </w:r>
      <w:r>
        <w:rPr>
          <w:rFonts w:hint="eastAsia" w:ascii="宋体" w:hAnsi="宋体" w:eastAsia="宋体" w:cs="宋体"/>
          <w:kern w:val="2"/>
          <w:sz w:val="24"/>
          <w:szCs w:val="24"/>
          <w:lang w:val="en-US" w:eastAsia="zh-CN" w:bidi="ar-SA"/>
        </w:rPr>
        <w:t>。</w:t>
      </w:r>
    </w:p>
    <w:p>
      <w:pPr>
        <w:pStyle w:val="8"/>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kern w:val="2"/>
          <w:sz w:val="24"/>
          <w:szCs w:val="24"/>
          <w:lang w:val="en-US" w:eastAsia="zh-CN" w:bidi="ar-SA"/>
        </w:rPr>
      </w:pPr>
      <w:r>
        <w:rPr>
          <w:rFonts w:hint="eastAsia" w:asciiTheme="minorEastAsia" w:hAnsiTheme="minorEastAsia" w:cstheme="minorEastAsia"/>
          <w:color w:val="auto"/>
          <w:kern w:val="0"/>
          <w:sz w:val="24"/>
          <w:szCs w:val="24"/>
          <w:highlight w:val="none"/>
          <w:lang w:val="en-US" w:eastAsia="zh-CN" w:bidi="ar"/>
        </w:rPr>
        <w:t>按照甲方确认的培训计划开展调研，完成课件开发并实施培训。培训完成后，1个月内输出培训总结、培训现场照片、培训视频、培训效果评估报告。</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textAlignment w:val="auto"/>
        <w:rPr>
          <w:rFonts w:hint="default" w:ascii="宋体" w:hAnsi="宋体" w:eastAsia="宋体" w:cs="宋体"/>
          <w:kern w:val="2"/>
          <w:sz w:val="24"/>
          <w:szCs w:val="24"/>
          <w:lang w:val="en-US" w:eastAsia="zh-CN" w:bidi="ar-SA"/>
        </w:rPr>
      </w:pPr>
      <w:r>
        <w:rPr>
          <w:rFonts w:hint="eastAsia" w:asciiTheme="minorEastAsia" w:hAnsiTheme="minorEastAsia" w:cstheme="minorEastAsia"/>
          <w:color w:val="auto"/>
          <w:kern w:val="0"/>
          <w:sz w:val="24"/>
          <w:szCs w:val="24"/>
          <w:highlight w:val="none"/>
          <w:lang w:val="en-US" w:eastAsia="zh-CN" w:bidi="ar"/>
        </w:rPr>
        <w:t xml:space="preserve">     4、培训服务周期：24个月，投标人按单场次进行报价，合同期内按实际执行场次据实结算。</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招标形式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公开</w:t>
      </w:r>
      <w:r>
        <w:rPr>
          <w:rFonts w:hint="eastAsia" w:asciiTheme="minorEastAsia" w:hAnsiTheme="minorEastAsia" w:eastAsiaTheme="minorEastAsia" w:cstheme="minorEastAsia"/>
          <w:color w:val="auto"/>
          <w:kern w:val="0"/>
          <w:sz w:val="24"/>
          <w:szCs w:val="24"/>
          <w:highlight w:val="none"/>
          <w:lang w:val="en-US" w:eastAsia="zh-CN" w:bidi="ar"/>
        </w:rPr>
        <w:t>招标</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议程安排</w:t>
      </w:r>
    </w:p>
    <w:p>
      <w:pPr>
        <w:pStyle w:val="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公告时间：2026年4月1日</w:t>
      </w:r>
    </w:p>
    <w:p>
      <w:pPr>
        <w:pStyle w:val="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答疑时间：2026年4月15日17：00前，请投标单位在规定时间内将答疑内容扫描件发送至邮箱：</w:t>
      </w:r>
      <w:r>
        <w:rPr>
          <w:rFonts w:hint="eastAsia" w:asciiTheme="minorEastAsia" w:hAnsiTheme="minorEastAsia" w:eastAsiaTheme="minorEastAsia" w:cstheme="minorEastAsia"/>
          <w:color w:val="auto"/>
          <w:kern w:val="0"/>
          <w:sz w:val="24"/>
          <w:szCs w:val="24"/>
          <w:highlight w:val="none"/>
          <w:lang w:val="en-US" w:eastAsia="zh-CN" w:bidi="ar"/>
        </w:rPr>
        <w:fldChar w:fldCharType="begin"/>
      </w:r>
      <w:r>
        <w:rPr>
          <w:rFonts w:hint="eastAsia" w:asciiTheme="minorEastAsia" w:hAnsiTheme="minorEastAsia" w:eastAsiaTheme="minorEastAsia" w:cstheme="minorEastAsia"/>
          <w:color w:val="auto"/>
          <w:kern w:val="0"/>
          <w:sz w:val="24"/>
          <w:szCs w:val="24"/>
          <w:highlight w:val="none"/>
          <w:lang w:val="en-US" w:eastAsia="zh-CN" w:bidi="ar"/>
        </w:rPr>
        <w:instrText xml:space="preserve"> HYPERLINK "mailto:wuxiaofang@sinotruk.com" </w:instrText>
      </w:r>
      <w:r>
        <w:rPr>
          <w:rFonts w:hint="eastAsia" w:asciiTheme="minorEastAsia" w:hAnsiTheme="minorEastAsia" w:eastAsiaTheme="minorEastAsia" w:cstheme="minorEastAsia"/>
          <w:color w:val="auto"/>
          <w:kern w:val="0"/>
          <w:sz w:val="24"/>
          <w:szCs w:val="24"/>
          <w:highlight w:val="none"/>
          <w:lang w:val="en-US" w:eastAsia="zh-CN" w:bidi="ar"/>
        </w:rPr>
        <w:fldChar w:fldCharType="separate"/>
      </w:r>
      <w:r>
        <w:rPr>
          <w:rFonts w:hint="eastAsia" w:asciiTheme="minorEastAsia" w:hAnsiTheme="minorEastAsia" w:eastAsiaTheme="minorEastAsia" w:cstheme="minorEastAsia"/>
          <w:color w:val="auto"/>
          <w:kern w:val="0"/>
          <w:sz w:val="24"/>
          <w:szCs w:val="24"/>
          <w:highlight w:val="none"/>
          <w:lang w:val="en-US" w:eastAsia="zh-CN" w:bidi="ar"/>
        </w:rPr>
        <w:t>cdwscwls@163.com</w:t>
      </w:r>
      <w:r>
        <w:rPr>
          <w:rFonts w:hint="eastAsia" w:asciiTheme="minorEastAsia" w:hAnsiTheme="minorEastAsia" w:eastAsiaTheme="minorEastAsia" w:cstheme="minorEastAsia"/>
          <w:color w:val="auto"/>
          <w:kern w:val="0"/>
          <w:sz w:val="24"/>
          <w:szCs w:val="24"/>
          <w:highlight w:val="none"/>
          <w:lang w:val="en-US" w:eastAsia="zh-CN" w:bidi="ar"/>
        </w:rPr>
        <w:fldChar w:fldCharType="end"/>
      </w:r>
      <w:r>
        <w:rPr>
          <w:rFonts w:hint="eastAsia" w:asciiTheme="minorEastAsia" w:hAnsiTheme="minorEastAsia" w:cstheme="minorEastAsia"/>
          <w:color w:val="auto"/>
          <w:kern w:val="0"/>
          <w:sz w:val="24"/>
          <w:szCs w:val="24"/>
          <w:highlight w:val="none"/>
          <w:lang w:val="en-US" w:eastAsia="zh-CN" w:bidi="ar"/>
        </w:rPr>
        <w:t>，招标方以邮箱或书面形式进行回复答疑。</w:t>
      </w:r>
    </w:p>
    <w:p>
      <w:pPr>
        <w:pStyle w:val="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开标时间：2026年4月16日14：00（若有变动另行通知）。</w:t>
      </w:r>
    </w:p>
    <w:p>
      <w:pPr>
        <w:pStyle w:val="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投标地点：</w:t>
      </w:r>
      <w:r>
        <w:rPr>
          <w:rFonts w:hint="eastAsia" w:asciiTheme="minorEastAsia" w:hAnsiTheme="minorEastAsia" w:eastAsiaTheme="minorEastAsia" w:cstheme="minorEastAsia"/>
          <w:color w:val="auto"/>
          <w:kern w:val="0"/>
          <w:sz w:val="24"/>
          <w:szCs w:val="24"/>
          <w:highlight w:val="none"/>
          <w:lang w:val="en-US" w:eastAsia="zh-CN" w:bidi="ar"/>
        </w:rPr>
        <w:t>成都市青白江区弥牟镇长城路8号</w:t>
      </w:r>
      <w:r>
        <w:rPr>
          <w:rFonts w:hint="eastAsia" w:asciiTheme="minorEastAsia" w:hAnsiTheme="minorEastAsia" w:cstheme="minorEastAsia"/>
          <w:color w:val="auto"/>
          <w:kern w:val="0"/>
          <w:sz w:val="24"/>
          <w:szCs w:val="24"/>
          <w:highlight w:val="none"/>
          <w:lang w:val="en-US" w:eastAsia="zh-CN" w:bidi="ar"/>
        </w:rPr>
        <w:t>中国重汽成都</w:t>
      </w:r>
      <w:r>
        <w:rPr>
          <w:rFonts w:hint="eastAsia" w:asciiTheme="minorEastAsia" w:hAnsiTheme="minorEastAsia" w:eastAsiaTheme="minorEastAsia" w:cstheme="minorEastAsia"/>
          <w:color w:val="auto"/>
          <w:kern w:val="0"/>
          <w:sz w:val="24"/>
          <w:szCs w:val="24"/>
          <w:highlight w:val="none"/>
          <w:lang w:val="en-US" w:eastAsia="zh-CN" w:bidi="ar"/>
        </w:rPr>
        <w:t>王牌行政办公楼</w:t>
      </w:r>
      <w:r>
        <w:rPr>
          <w:rFonts w:hint="eastAsia" w:asciiTheme="minorEastAsia" w:hAnsiTheme="minorEastAsia" w:cstheme="minorEastAsia"/>
          <w:color w:val="auto"/>
          <w:kern w:val="0"/>
          <w:sz w:val="24"/>
          <w:szCs w:val="24"/>
          <w:highlight w:val="none"/>
          <w:lang w:val="en-US" w:eastAsia="zh-CN" w:bidi="ar"/>
        </w:rPr>
        <w:t>203会议室（若有变动另行通知）。</w:t>
      </w:r>
    </w:p>
    <w:p>
      <w:pPr>
        <w:pStyle w:val="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投标保证金缴纳</w:t>
      </w:r>
    </w:p>
    <w:p>
      <w:pPr>
        <w:pStyle w:val="4"/>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投标人应在2026年4月15日17：00前从基本账户向招标人交纳人民币：5000元的投标保证金后才能获得本次招标的投标资格。招标结束后，该保证金将在中标通知发布之日起30个工作日内原路径全额无息退还。缴纳保证金时，应在汇款时注明“××公司××项目投标保证金”。</w:t>
      </w:r>
      <w:bookmarkStart w:id="0" w:name="_GoBack"/>
      <w:bookmarkEnd w:id="0"/>
    </w:p>
    <w:p>
      <w:pPr>
        <w:pStyle w:val="4"/>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保证金缴纳账户：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 xml:space="preserve">收款单位：中国重汽集团成都王牌商用车有限公司 </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开 户 行：中国农业银行四川成都青白江弥牟支行</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账    号：22844401040000572</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行    号：103651084448</w:t>
      </w:r>
    </w:p>
    <w:p>
      <w:pPr>
        <w:pStyle w:val="4"/>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发生以下情况时，招标人有权没收投标保证金：</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截至开标前3天，供应商无正当理由、未以书面形式递交说明而在投标截止日不来投标的；</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供应商递送文件后，无正当理由放弃投标的；</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自中标（成交）通知书发出之日起30日内，中标（成交）供应商无正当理由不签订合同的；</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投标过程中被查实有串标、围标、陪标等违规违纪行为的；</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供应商有违约违规行为或被投诉、举报的，在调查处理期间，保证金暂不退还，待调查处理结束后按有关规定处理。</w:t>
      </w:r>
    </w:p>
    <w:p>
      <w:pPr>
        <w:pStyle w:val="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Theme="minorEastAsia" w:cstheme="minorBidi"/>
          <w:color w:val="auto"/>
          <w:kern w:val="2"/>
          <w:sz w:val="24"/>
          <w:szCs w:val="24"/>
          <w:lang w:val="en-US" w:eastAsia="zh-CN" w:bidi="ar-SA"/>
        </w:rPr>
      </w:pPr>
      <w:r>
        <w:rPr>
          <w:rFonts w:hint="eastAsia" w:asciiTheme="minorEastAsia" w:hAnsiTheme="minorEastAsia" w:cstheme="minorEastAsia"/>
          <w:color w:val="auto"/>
          <w:kern w:val="0"/>
          <w:sz w:val="24"/>
          <w:szCs w:val="24"/>
          <w:highlight w:val="none"/>
          <w:lang w:val="en-US" w:eastAsia="zh-CN" w:bidi="ar"/>
        </w:rPr>
        <w:t>在线资格预审时间：4月15日前，请投标人按照资格审查内容及要求（详见附件 5《在线资质文件预审目录》），准备相关资料和投标联系人和电话等信息发送至</w:t>
      </w:r>
      <w:r>
        <w:rPr>
          <w:rFonts w:hint="eastAsia" w:asciiTheme="minorEastAsia" w:hAnsiTheme="minorEastAsia" w:eastAsiaTheme="minorEastAsia" w:cstheme="minorEastAsia"/>
          <w:color w:val="auto"/>
          <w:kern w:val="0"/>
          <w:sz w:val="24"/>
          <w:szCs w:val="24"/>
          <w:highlight w:val="none"/>
          <w:lang w:val="en-US" w:eastAsia="zh-CN" w:bidi="ar"/>
        </w:rPr>
        <w:fldChar w:fldCharType="begin"/>
      </w:r>
      <w:r>
        <w:rPr>
          <w:rFonts w:hint="eastAsia" w:asciiTheme="minorEastAsia" w:hAnsiTheme="minorEastAsia" w:eastAsiaTheme="minorEastAsia" w:cstheme="minorEastAsia"/>
          <w:color w:val="auto"/>
          <w:kern w:val="0"/>
          <w:sz w:val="24"/>
          <w:szCs w:val="24"/>
          <w:highlight w:val="none"/>
          <w:lang w:val="en-US" w:eastAsia="zh-CN" w:bidi="ar"/>
        </w:rPr>
        <w:instrText xml:space="preserve"> HYPERLINK "mailto:wuxiaofang@sinotruk.com" </w:instrText>
      </w:r>
      <w:r>
        <w:rPr>
          <w:rFonts w:hint="eastAsia" w:asciiTheme="minorEastAsia" w:hAnsiTheme="minorEastAsia" w:eastAsiaTheme="minorEastAsia" w:cstheme="minorEastAsia"/>
          <w:color w:val="auto"/>
          <w:kern w:val="0"/>
          <w:sz w:val="24"/>
          <w:szCs w:val="24"/>
          <w:highlight w:val="none"/>
          <w:lang w:val="en-US" w:eastAsia="zh-CN" w:bidi="ar"/>
        </w:rPr>
        <w:fldChar w:fldCharType="separate"/>
      </w:r>
      <w:r>
        <w:rPr>
          <w:rFonts w:hint="eastAsia" w:asciiTheme="minorEastAsia" w:hAnsiTheme="minorEastAsia" w:eastAsiaTheme="minorEastAsia" w:cstheme="minorEastAsia"/>
          <w:color w:val="auto"/>
          <w:kern w:val="0"/>
          <w:sz w:val="24"/>
          <w:szCs w:val="24"/>
          <w:highlight w:val="none"/>
          <w:lang w:val="en-US" w:eastAsia="zh-CN" w:bidi="ar"/>
        </w:rPr>
        <w:t>cdwscwls@163.com</w:t>
      </w:r>
      <w:r>
        <w:rPr>
          <w:rFonts w:hint="eastAsia" w:asciiTheme="minorEastAsia" w:hAnsiTheme="minorEastAsia" w:eastAsiaTheme="minorEastAsia" w:cstheme="minorEastAsia"/>
          <w:color w:val="auto"/>
          <w:kern w:val="0"/>
          <w:sz w:val="24"/>
          <w:szCs w:val="24"/>
          <w:highlight w:val="none"/>
          <w:lang w:val="en-US" w:eastAsia="zh-CN" w:bidi="ar"/>
        </w:rPr>
        <w:fldChar w:fldCharType="end"/>
      </w:r>
      <w:r>
        <w:rPr>
          <w:rFonts w:hint="eastAsia" w:asciiTheme="minorEastAsia" w:hAnsiTheme="minorEastAsia" w:cstheme="minorEastAsia"/>
          <w:color w:val="auto"/>
          <w:kern w:val="0"/>
          <w:sz w:val="24"/>
          <w:szCs w:val="24"/>
          <w:highlight w:val="none"/>
          <w:lang w:val="en-US" w:eastAsia="zh-CN" w:bidi="ar"/>
        </w:rPr>
        <w:t>进行审核，邮件名称为：投标项目+公司名称+在线资质文件，未按规定向招标人提供资格审查信息，为无效投标。</w:t>
      </w:r>
      <w:r>
        <w:rPr>
          <w:rFonts w:hint="eastAsia" w:ascii="宋体" w:hAnsi="宋体" w:eastAsiaTheme="minorEastAsia" w:cstheme="minorBidi"/>
          <w:color w:val="auto"/>
          <w:kern w:val="2"/>
          <w:sz w:val="24"/>
          <w:szCs w:val="24"/>
          <w:lang w:val="en-US" w:eastAsia="zh-CN" w:bidi="ar-SA"/>
        </w:rPr>
        <w:t>本项目实行资格后审，报名成功不代表资格审查通过，以最终通过招标小组的审查为准。</w:t>
      </w:r>
    </w:p>
    <w:p>
      <w:pPr>
        <w:pStyle w:val="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项目</w:t>
      </w:r>
      <w:r>
        <w:rPr>
          <w:rFonts w:hint="eastAsia" w:asciiTheme="minorEastAsia" w:hAnsiTheme="minorEastAsia" w:eastAsiaTheme="minorEastAsia" w:cstheme="minorEastAsia"/>
          <w:color w:val="auto"/>
          <w:kern w:val="0"/>
          <w:sz w:val="24"/>
          <w:szCs w:val="24"/>
          <w:highlight w:val="none"/>
          <w:lang w:val="en-US" w:eastAsia="zh-CN" w:bidi="ar"/>
        </w:rPr>
        <w:t>联系人：</w:t>
      </w:r>
      <w:r>
        <w:rPr>
          <w:rFonts w:hint="eastAsia" w:ascii="宋体" w:hAnsi="宋体" w:eastAsia="宋体" w:cs="Times New Roman"/>
          <w:color w:val="auto"/>
          <w:kern w:val="2"/>
          <w:sz w:val="24"/>
          <w:szCs w:val="24"/>
          <w:lang w:val="en-US" w:eastAsia="zh-CN" w:bidi="ar-SA"/>
        </w:rPr>
        <w:t>陈</w:t>
      </w:r>
      <w:r>
        <w:rPr>
          <w:rFonts w:hint="eastAsia" w:hAnsi="宋体" w:cs="Times New Roman"/>
          <w:color w:val="auto"/>
          <w:kern w:val="2"/>
          <w:sz w:val="24"/>
          <w:szCs w:val="24"/>
          <w:lang w:val="en-US" w:eastAsia="zh-CN" w:bidi="ar-SA"/>
        </w:rPr>
        <w:t>国敏</w:t>
      </w:r>
      <w:r>
        <w:rPr>
          <w:rFonts w:hint="eastAsia" w:asciiTheme="minorEastAsia" w:hAnsiTheme="minorEastAsia" w:eastAsiaTheme="minorEastAsia" w:cstheme="minorEastAsia"/>
          <w:color w:val="auto"/>
          <w:kern w:val="0"/>
          <w:sz w:val="24"/>
          <w:szCs w:val="24"/>
          <w:highlight w:val="none"/>
          <w:lang w:val="en-US" w:eastAsia="zh-CN" w:bidi="ar"/>
        </w:rPr>
        <w:t xml:space="preserve">        联系电话：15881024508。</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投标须知</w:t>
      </w:r>
    </w:p>
    <w:p>
      <w:pPr>
        <w:pStyle w:val="4"/>
        <w:spacing w:line="360" w:lineRule="auto"/>
        <w:ind w:firstLine="482" w:firstLineChars="200"/>
        <w:rPr>
          <w:rFonts w:hint="eastAsia" w:ascii="宋体" w:hAnsi="宋体" w:eastAsiaTheme="minorEastAsia" w:cstheme="minorBidi"/>
          <w:b/>
          <w:bCs/>
          <w:color w:val="auto"/>
          <w:kern w:val="2"/>
          <w:sz w:val="24"/>
          <w:szCs w:val="24"/>
          <w:lang w:val="en-US" w:eastAsia="zh-CN" w:bidi="ar-SA"/>
        </w:rPr>
      </w:pPr>
      <w:r>
        <w:rPr>
          <w:rFonts w:hint="eastAsia" w:ascii="宋体" w:hAnsi="宋体" w:eastAsiaTheme="minorEastAsia" w:cstheme="minorBidi"/>
          <w:b/>
          <w:bCs/>
          <w:color w:val="auto"/>
          <w:kern w:val="2"/>
          <w:sz w:val="24"/>
          <w:szCs w:val="24"/>
          <w:lang w:val="en-US" w:eastAsia="zh-CN" w:bidi="ar-SA"/>
        </w:rPr>
        <w:t>1、合格投标人</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（1）投标人须遵守《中华人民共和国招标投标法》、《中华人民共和国民法典》及其它有关的法律和法规；为中华人民共和国境内注册的独立法人机构，具有独立承担民事责任能力。公司成立</w:t>
      </w:r>
      <w:r>
        <w:rPr>
          <w:rFonts w:hint="eastAsia" w:hAnsi="宋体" w:cstheme="minorBidi"/>
          <w:color w:val="auto"/>
          <w:kern w:val="2"/>
          <w:sz w:val="24"/>
          <w:szCs w:val="24"/>
          <w:lang w:val="en-US" w:eastAsia="zh-CN" w:bidi="ar-SA"/>
        </w:rPr>
        <w:t>三</w:t>
      </w:r>
      <w:r>
        <w:rPr>
          <w:rFonts w:hint="eastAsia" w:ascii="宋体" w:hAnsi="宋体" w:eastAsiaTheme="minorEastAsia" w:cstheme="minorBidi"/>
          <w:color w:val="auto"/>
          <w:kern w:val="2"/>
          <w:sz w:val="24"/>
          <w:szCs w:val="24"/>
          <w:lang w:val="en-US" w:eastAsia="zh-CN" w:bidi="ar-SA"/>
        </w:rPr>
        <w:t>年以上（以营业执照成立日期到开标当日满</w:t>
      </w:r>
      <w:r>
        <w:rPr>
          <w:rFonts w:hint="eastAsia" w:hAnsi="宋体" w:cstheme="minorBidi"/>
          <w:color w:val="auto"/>
          <w:kern w:val="2"/>
          <w:sz w:val="24"/>
          <w:szCs w:val="24"/>
          <w:lang w:val="en-US" w:eastAsia="zh-CN" w:bidi="ar-SA"/>
        </w:rPr>
        <w:t>三</w:t>
      </w:r>
      <w:r>
        <w:rPr>
          <w:rFonts w:hint="eastAsia" w:ascii="宋体" w:hAnsi="宋体" w:eastAsiaTheme="minorEastAsia" w:cstheme="minorBidi"/>
          <w:color w:val="auto"/>
          <w:kern w:val="2"/>
          <w:sz w:val="24"/>
          <w:szCs w:val="24"/>
          <w:lang w:val="en-US" w:eastAsia="zh-CN" w:bidi="ar-SA"/>
        </w:rPr>
        <w:t>年为准）；投标企业注册资金不少于</w:t>
      </w:r>
      <w:r>
        <w:rPr>
          <w:rFonts w:hint="eastAsia" w:hAnsi="宋体" w:cstheme="minorBidi"/>
          <w:color w:val="auto"/>
          <w:kern w:val="2"/>
          <w:sz w:val="24"/>
          <w:szCs w:val="24"/>
          <w:lang w:val="en-US" w:eastAsia="zh-CN" w:bidi="ar-SA"/>
        </w:rPr>
        <w:t>2</w:t>
      </w:r>
      <w:r>
        <w:rPr>
          <w:rFonts w:hint="eastAsia" w:ascii="宋体" w:hAnsi="宋体" w:eastAsiaTheme="minorEastAsia" w:cstheme="minorBidi"/>
          <w:color w:val="auto"/>
          <w:kern w:val="2"/>
          <w:sz w:val="24"/>
          <w:szCs w:val="24"/>
          <w:lang w:val="en-US" w:eastAsia="zh-CN" w:bidi="ar-SA"/>
        </w:rPr>
        <w:t>00万元人民币，经营范围满足招标项目需求；投标人须提供具有统一社会信用代码的三证合一的营业执照副本原件及复印件（加盖公章）。</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ascii="宋体" w:hAnsi="宋体" w:cstheme="minorBidi"/>
          <w:color w:val="auto"/>
          <w:kern w:val="2"/>
          <w:sz w:val="24"/>
          <w:szCs w:val="24"/>
          <w:lang w:val="en-US" w:eastAsia="zh-CN" w:bidi="ar-SA"/>
        </w:rPr>
        <w:t>2</w:t>
      </w:r>
      <w:r>
        <w:rPr>
          <w:rFonts w:hint="eastAsia" w:ascii="宋体" w:hAnsi="宋体" w:eastAsiaTheme="minorEastAsia" w:cstheme="minorBidi"/>
          <w:color w:val="auto"/>
          <w:kern w:val="2"/>
          <w:sz w:val="24"/>
          <w:szCs w:val="24"/>
          <w:lang w:val="en-US" w:eastAsia="zh-CN" w:bidi="ar-SA"/>
        </w:rPr>
        <w:t>）</w:t>
      </w:r>
      <w:r>
        <w:rPr>
          <w:rFonts w:hint="eastAsia" w:asciiTheme="minorEastAsia" w:hAnsiTheme="minorEastAsia" w:eastAsiaTheme="minorEastAsia" w:cstheme="minorEastAsia"/>
          <w:color w:val="auto"/>
          <w:kern w:val="0"/>
          <w:sz w:val="24"/>
          <w:szCs w:val="24"/>
          <w:highlight w:val="none"/>
        </w:rPr>
        <w:t>具有良好的</w:t>
      </w:r>
      <w:r>
        <w:rPr>
          <w:rFonts w:hint="eastAsia" w:asciiTheme="minorEastAsia" w:hAnsiTheme="minorEastAsia" w:eastAsiaTheme="minorEastAsia" w:cstheme="minorEastAsia"/>
          <w:color w:val="auto"/>
          <w:kern w:val="0"/>
          <w:sz w:val="24"/>
          <w:szCs w:val="24"/>
          <w:highlight w:val="none"/>
          <w:lang w:eastAsia="zh-CN"/>
        </w:rPr>
        <w:t>商业</w:t>
      </w:r>
      <w:r>
        <w:rPr>
          <w:rFonts w:hint="eastAsia" w:asciiTheme="minorEastAsia" w:hAnsiTheme="minorEastAsia" w:eastAsiaTheme="minorEastAsia" w:cstheme="minorEastAsia"/>
          <w:color w:val="auto"/>
          <w:kern w:val="0"/>
          <w:sz w:val="24"/>
          <w:szCs w:val="24"/>
          <w:highlight w:val="none"/>
        </w:rPr>
        <w:t>信誉</w:t>
      </w:r>
      <w:r>
        <w:rPr>
          <w:rFonts w:hint="eastAsia" w:asciiTheme="minorEastAsia" w:hAnsiTheme="minorEastAsia" w:eastAsiaTheme="minorEastAsia" w:cstheme="minorEastAsia"/>
          <w:color w:val="auto"/>
          <w:kern w:val="0"/>
          <w:sz w:val="24"/>
          <w:szCs w:val="24"/>
          <w:highlight w:val="none"/>
          <w:lang w:eastAsia="zh-CN"/>
        </w:rPr>
        <w:t>和</w:t>
      </w:r>
      <w:r>
        <w:rPr>
          <w:rFonts w:hint="eastAsia" w:asciiTheme="minorEastAsia" w:hAnsiTheme="minorEastAsia" w:eastAsiaTheme="minorEastAsia" w:cstheme="minorEastAsia"/>
          <w:color w:val="auto"/>
          <w:kern w:val="0"/>
          <w:sz w:val="24"/>
          <w:szCs w:val="24"/>
          <w:highlight w:val="none"/>
        </w:rPr>
        <w:t>健全的财务会计制度，财务状况和市场行为良好</w:t>
      </w:r>
      <w:r>
        <w:rPr>
          <w:rFonts w:hint="eastAsia" w:asciiTheme="minorEastAsia" w:hAnsiTheme="minorEastAsia" w:eastAsiaTheme="minorEastAsia" w:cstheme="minorEastAsia"/>
          <w:color w:val="auto"/>
          <w:kern w:val="0"/>
          <w:sz w:val="24"/>
          <w:szCs w:val="24"/>
          <w:highlight w:val="none"/>
          <w:lang w:eastAsia="zh-CN"/>
        </w:rPr>
        <w:t>，有依法缴纳税收和社会保障资金的良好记录，</w:t>
      </w:r>
      <w:r>
        <w:rPr>
          <w:rFonts w:hint="eastAsia" w:asciiTheme="minorEastAsia" w:hAnsiTheme="minorEastAsia" w:eastAsiaTheme="minorEastAsia" w:cstheme="minorEastAsia"/>
          <w:color w:val="auto"/>
          <w:sz w:val="24"/>
          <w:szCs w:val="24"/>
          <w:highlight w:val="none"/>
        </w:rPr>
        <w:t>并具有一定的垫资能力，能切实履行合同。</w:t>
      </w:r>
      <w:r>
        <w:rPr>
          <w:rFonts w:hint="eastAsia" w:ascii="宋体" w:hAnsi="宋体" w:eastAsiaTheme="minorEastAsia" w:cstheme="minorBidi"/>
          <w:color w:val="auto"/>
          <w:kern w:val="2"/>
          <w:sz w:val="24"/>
          <w:szCs w:val="24"/>
          <w:lang w:val="en-US" w:eastAsia="zh-CN" w:bidi="ar-SA"/>
        </w:rPr>
        <w:t>没有处于被有权机关吊销营业执照、吊销资质、停业整顿、取消投标资格以及财产被接管、冻结或进入破产程序等。</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3</w:t>
      </w:r>
      <w:r>
        <w:rPr>
          <w:rFonts w:hint="eastAsia" w:ascii="宋体" w:hAnsi="宋体" w:eastAsiaTheme="minorEastAsia" w:cstheme="minorBidi"/>
          <w:color w:val="auto"/>
          <w:kern w:val="2"/>
          <w:sz w:val="24"/>
          <w:szCs w:val="24"/>
          <w:lang w:val="en-US" w:eastAsia="zh-CN" w:bidi="ar-SA"/>
        </w:rPr>
        <w:t>）投标人没有被列入招标人处《黑名单》（《黑名单》指投标人与招标人在以往或正在进行的合作中，存在招标人认为的违反合同约定或违反法律法规等的失信行为）的证明原件。</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4</w:t>
      </w:r>
      <w:r>
        <w:rPr>
          <w:rFonts w:hint="eastAsia" w:ascii="宋体" w:hAnsi="宋体" w:eastAsiaTheme="minorEastAsia" w:cstheme="minorBidi"/>
          <w:color w:val="auto"/>
          <w:kern w:val="2"/>
          <w:sz w:val="24"/>
          <w:szCs w:val="24"/>
          <w:lang w:val="en-US" w:eastAsia="zh-CN" w:bidi="ar-SA"/>
        </w:rPr>
        <w:t>）投标人近三年的公司财务报表（资产负债表、损益表、现金流量表）未显示异常的证明原件</w:t>
      </w:r>
      <w:r>
        <w:rPr>
          <w:rFonts w:hint="eastAsia" w:ascii="宋体" w:hAnsi="宋体" w:cstheme="minorBidi"/>
          <w:color w:val="auto"/>
          <w:kern w:val="2"/>
          <w:sz w:val="24"/>
          <w:szCs w:val="24"/>
          <w:lang w:val="en-US" w:eastAsia="zh-CN" w:bidi="ar-SA"/>
        </w:rPr>
        <w:t>。</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5</w:t>
      </w:r>
      <w:r>
        <w:rPr>
          <w:rFonts w:hint="eastAsia" w:ascii="宋体" w:hAnsi="宋体" w:eastAsiaTheme="minorEastAsia" w:cstheme="minorBidi"/>
          <w:color w:val="auto"/>
          <w:kern w:val="2"/>
          <w:sz w:val="24"/>
          <w:szCs w:val="24"/>
          <w:lang w:val="en-US" w:eastAsia="zh-CN" w:bidi="ar-SA"/>
        </w:rPr>
        <w:t>）投标人须提供法人授权委托书原件（在投标文件副本中可用复印件）及投标单位的法定代表人或授权代表的身份证原件及复印件（加盖公章），法人到场的，出具法定代表人资格证明文件。</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6</w:t>
      </w:r>
      <w:r>
        <w:rPr>
          <w:rFonts w:hint="eastAsia" w:ascii="宋体" w:hAnsi="宋体" w:eastAsiaTheme="minorEastAsia" w:cstheme="minorBidi"/>
          <w:color w:val="auto"/>
          <w:kern w:val="2"/>
          <w:sz w:val="24"/>
          <w:szCs w:val="24"/>
          <w:lang w:val="en-US" w:eastAsia="zh-CN" w:bidi="ar-SA"/>
        </w:rPr>
        <w:t>）中标的投标人严禁弃标，弃标单位将进入中国重汽集团《违约单位名录》,禁止其参加中国重汽集团系统内所有单位招标。</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7</w:t>
      </w:r>
      <w:r>
        <w:rPr>
          <w:rFonts w:hint="eastAsia" w:ascii="宋体" w:hAnsi="宋体" w:eastAsiaTheme="minorEastAsia" w:cstheme="minorBidi"/>
          <w:color w:val="auto"/>
          <w:kern w:val="2"/>
          <w:sz w:val="24"/>
          <w:szCs w:val="24"/>
          <w:lang w:val="en-US" w:eastAsia="zh-CN" w:bidi="ar-SA"/>
        </w:rPr>
        <w:t>）</w:t>
      </w:r>
      <w:r>
        <w:rPr>
          <w:rFonts w:hint="eastAsia" w:asciiTheme="minorEastAsia" w:hAnsiTheme="minorEastAsia" w:eastAsiaTheme="minorEastAsia" w:cstheme="minorEastAsia"/>
          <w:color w:val="auto"/>
          <w:sz w:val="24"/>
          <w:szCs w:val="24"/>
          <w:highlight w:val="none"/>
        </w:rPr>
        <w:t>投标人应</w:t>
      </w:r>
      <w:r>
        <w:rPr>
          <w:rFonts w:hint="eastAsia" w:asciiTheme="minorEastAsia" w:hAnsiTheme="minorEastAsia" w:eastAsiaTheme="minorEastAsia" w:cstheme="minorEastAsia"/>
          <w:color w:val="auto"/>
          <w:kern w:val="0"/>
          <w:sz w:val="24"/>
          <w:szCs w:val="24"/>
          <w:highlight w:val="none"/>
          <w:lang w:val="en-US" w:eastAsia="zh-CN"/>
        </w:rPr>
        <w:t>具</w:t>
      </w:r>
      <w:r>
        <w:rPr>
          <w:rFonts w:hint="eastAsia" w:asciiTheme="minorEastAsia" w:hAnsiTheme="minorEastAsia" w:eastAsiaTheme="minorEastAsia" w:cstheme="minorEastAsia"/>
          <w:color w:val="auto"/>
          <w:sz w:val="24"/>
          <w:szCs w:val="24"/>
          <w:highlight w:val="none"/>
        </w:rPr>
        <w:t>有</w:t>
      </w:r>
      <w:r>
        <w:rPr>
          <w:rFonts w:hint="eastAsia" w:ascii="宋体" w:hAnsi="宋体" w:eastAsiaTheme="minorEastAsia" w:cstheme="minorBidi"/>
          <w:color w:val="auto"/>
          <w:kern w:val="2"/>
          <w:sz w:val="24"/>
          <w:szCs w:val="24"/>
          <w:lang w:val="en-US" w:eastAsia="zh-CN" w:bidi="ar-SA"/>
        </w:rPr>
        <w:t>至少</w:t>
      </w:r>
      <w:r>
        <w:rPr>
          <w:rFonts w:hint="eastAsia" w:hAnsi="宋体" w:cstheme="minorBidi"/>
          <w:color w:val="auto"/>
          <w:kern w:val="2"/>
          <w:sz w:val="24"/>
          <w:szCs w:val="24"/>
          <w:lang w:val="en-US" w:eastAsia="zh-CN" w:bidi="ar-SA"/>
        </w:rPr>
        <w:t>3</w:t>
      </w:r>
      <w:r>
        <w:rPr>
          <w:rFonts w:hint="eastAsia" w:ascii="宋体" w:hAnsi="宋体" w:eastAsiaTheme="minorEastAsia" w:cstheme="minorBidi"/>
          <w:color w:val="auto"/>
          <w:kern w:val="2"/>
          <w:sz w:val="24"/>
          <w:szCs w:val="24"/>
          <w:lang w:val="en-US" w:eastAsia="zh-CN" w:bidi="ar-SA"/>
        </w:rPr>
        <w:t>个知名汽车品牌经销商培训项目经验，具备2年以上汽车行业销售咨询经验,具有良好的风险应对能力，能够认可</w:t>
      </w:r>
      <w:r>
        <w:rPr>
          <w:rFonts w:hint="eastAsia" w:asciiTheme="minorEastAsia" w:hAnsiTheme="minorEastAsia" w:eastAsiaTheme="minorEastAsia" w:cstheme="minorEastAsia"/>
          <w:color w:val="auto"/>
          <w:sz w:val="24"/>
          <w:szCs w:val="24"/>
          <w:highlight w:val="none"/>
        </w:rPr>
        <w:t>招标人的工作指令，包括节、假日能正常开展工作等要求</w:t>
      </w:r>
      <w:r>
        <w:rPr>
          <w:rFonts w:hint="eastAsia" w:ascii="宋体" w:hAnsi="宋体" w:eastAsiaTheme="minorEastAsia" w:cstheme="minorBidi"/>
          <w:color w:val="auto"/>
          <w:kern w:val="2"/>
          <w:sz w:val="24"/>
          <w:szCs w:val="24"/>
          <w:lang w:val="en-US" w:eastAsia="zh-CN" w:bidi="ar-SA"/>
        </w:rPr>
        <w:t>。</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8</w:t>
      </w:r>
      <w:r>
        <w:rPr>
          <w:rFonts w:hint="eastAsia" w:ascii="宋体" w:hAnsi="宋体" w:eastAsiaTheme="minorEastAsia" w:cstheme="minorBidi"/>
          <w:color w:val="auto"/>
          <w:kern w:val="2"/>
          <w:sz w:val="24"/>
          <w:szCs w:val="24"/>
          <w:lang w:val="en-US" w:eastAsia="zh-CN" w:bidi="ar-SA"/>
        </w:rPr>
        <w:t>）本次招标项目不接受联合体投标。</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9</w:t>
      </w:r>
      <w:r>
        <w:rPr>
          <w:rFonts w:hint="eastAsia" w:ascii="宋体" w:hAnsi="宋体" w:eastAsiaTheme="minorEastAsia" w:cstheme="minorBidi"/>
          <w:color w:val="auto"/>
          <w:kern w:val="2"/>
          <w:sz w:val="24"/>
          <w:szCs w:val="24"/>
          <w:lang w:val="en-US" w:eastAsia="zh-CN" w:bidi="ar-SA"/>
        </w:rPr>
        <w:t>）逾期的投标文件招标人不予受理。</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（1</w:t>
      </w:r>
      <w:r>
        <w:rPr>
          <w:rFonts w:hint="eastAsia" w:hAnsi="宋体" w:cstheme="minorBidi"/>
          <w:color w:val="auto"/>
          <w:kern w:val="2"/>
          <w:sz w:val="24"/>
          <w:szCs w:val="24"/>
          <w:lang w:val="en-US" w:eastAsia="zh-CN" w:bidi="ar-SA"/>
        </w:rPr>
        <w:t>0</w:t>
      </w:r>
      <w:r>
        <w:rPr>
          <w:rFonts w:hint="eastAsia" w:ascii="宋体" w:hAnsi="宋体" w:eastAsiaTheme="minorEastAsia" w:cstheme="minorBidi"/>
          <w:color w:val="auto"/>
          <w:kern w:val="2"/>
          <w:sz w:val="24"/>
          <w:szCs w:val="24"/>
          <w:lang w:val="en-US" w:eastAsia="zh-CN" w:bidi="ar-SA"/>
        </w:rPr>
        <w:t>）无与本项目有关的违法及违规行为。</w:t>
      </w:r>
    </w:p>
    <w:p>
      <w:pPr>
        <w:pStyle w:val="4"/>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Theme="minorEastAsia" w:cstheme="minorBidi"/>
          <w:color w:val="auto"/>
          <w:kern w:val="2"/>
          <w:sz w:val="24"/>
          <w:szCs w:val="24"/>
          <w:lang w:val="en-US" w:eastAsia="zh-CN" w:bidi="ar-SA"/>
        </w:rPr>
        <w:t>（1</w:t>
      </w:r>
      <w:r>
        <w:rPr>
          <w:rFonts w:hint="eastAsia" w:hAnsi="宋体" w:cstheme="minorBidi"/>
          <w:color w:val="auto"/>
          <w:kern w:val="2"/>
          <w:sz w:val="24"/>
          <w:szCs w:val="24"/>
          <w:lang w:val="en-US" w:eastAsia="zh-CN" w:bidi="ar-SA"/>
        </w:rPr>
        <w:t>1</w:t>
      </w:r>
      <w:r>
        <w:rPr>
          <w:rFonts w:hint="eastAsia" w:ascii="宋体" w:hAnsi="宋体" w:eastAsiaTheme="minorEastAsia" w:cstheme="minorBidi"/>
          <w:color w:val="auto"/>
          <w:kern w:val="2"/>
          <w:sz w:val="24"/>
          <w:szCs w:val="24"/>
          <w:lang w:val="en-US" w:eastAsia="zh-CN" w:bidi="ar-SA"/>
        </w:rPr>
        <w:t>）投标人的直接或间接股东、法定代表人、董事、监事、高管非重汽员工及其亲属。</w:t>
      </w:r>
    </w:p>
    <w:p>
      <w:pPr>
        <w:spacing w:line="360" w:lineRule="auto"/>
        <w:jc w:val="left"/>
        <w:rPr>
          <w:rFonts w:hint="eastAsia" w:ascii="黑体" w:hAnsi="黑体" w:eastAsia="黑体"/>
          <w:color w:val="auto"/>
          <w:sz w:val="28"/>
          <w:szCs w:val="24"/>
          <w:lang w:val="en-US" w:eastAsia="zh-CN"/>
        </w:rPr>
      </w:pPr>
      <w:r>
        <w:rPr>
          <w:rFonts w:hint="eastAsia" w:ascii="黑体" w:hAnsi="黑体" w:eastAsia="黑体"/>
          <w:color w:val="auto"/>
          <w:sz w:val="28"/>
          <w:szCs w:val="24"/>
          <w:lang w:val="en-US" w:eastAsia="zh-CN"/>
        </w:rPr>
        <w:t>六、投标人有下列情况之一，即视为废标，招标人将严格按照《中华人民共和国招标投标法》及相关法律、法规及规章制度的规定行使权利。投标人给招标人造成损失的，招标人有索赔的权利，投标人应予以赔偿：</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hAnsi="宋体" w:cstheme="minorBidi"/>
          <w:color w:val="auto"/>
          <w:kern w:val="2"/>
          <w:sz w:val="24"/>
          <w:szCs w:val="24"/>
          <w:lang w:val="en-US" w:eastAsia="zh-CN" w:bidi="ar-SA"/>
        </w:rPr>
        <w:t>1、</w:t>
      </w:r>
      <w:r>
        <w:rPr>
          <w:rFonts w:hint="eastAsia" w:ascii="宋体" w:hAnsi="宋体" w:eastAsiaTheme="minorEastAsia" w:cstheme="minorBidi"/>
          <w:color w:val="auto"/>
          <w:kern w:val="2"/>
          <w:sz w:val="24"/>
          <w:szCs w:val="24"/>
          <w:lang w:val="en-US" w:eastAsia="zh-CN" w:bidi="ar-SA"/>
        </w:rPr>
        <w:t>投标人提供的有关资格、资质证明文件不合格、不真实或提供虚假投标材料；</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2</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投标人在报价有效期内撤回投标；</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3</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在整个评标过程中，投标人有企图影响评标结果公正性的任何活动；</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4</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投标人以任何方式诋毁其他投标人；</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5</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投标人串通投标；</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6</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以他人名义投标或者以其他方式弄虚作假，骗取中标的；</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7</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投标人负责人为同一人或者存在控股、管理关系的不同单位；</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8</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被其他投标人举报经查实属实的；</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9</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法律、法规规定的其他情况。</w:t>
      </w:r>
    </w:p>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auto"/>
          <w:kern w:val="2"/>
          <w:sz w:val="28"/>
          <w:szCs w:val="24"/>
          <w:lang w:val="en-US" w:eastAsia="zh-CN" w:bidi="ar-SA"/>
        </w:rPr>
      </w:pPr>
      <w:r>
        <w:rPr>
          <w:rFonts w:hint="eastAsia" w:ascii="黑体" w:hAnsi="黑体" w:eastAsia="黑体" w:cs="Times New Roman"/>
          <w:color w:val="auto"/>
          <w:kern w:val="2"/>
          <w:sz w:val="28"/>
          <w:szCs w:val="24"/>
          <w:lang w:val="en-US" w:eastAsia="zh-CN" w:bidi="ar-SA"/>
        </w:rPr>
        <w:t>七、出现下列情形之一，招标人有权否决所有投标人的投标，并终止招标。</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1</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出现影响采购公正的违法、违规行为的；</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2</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评标委员会经评审，认为所有投标都不符合招标文件要求的；</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3</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因重大变故，采购任务取消的；</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4</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评标委员会认为应当终止招标的其他情形；</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5</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符合投标条件的投标人或者对招标文件做实质响应的投标人不足三家的；</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6</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招标人认为其他应终止招标的情形；</w:t>
      </w:r>
    </w:p>
    <w:p>
      <w:pPr>
        <w:pStyle w:val="4"/>
        <w:spacing w:line="360" w:lineRule="auto"/>
        <w:ind w:firstLine="480" w:firstLineChars="200"/>
        <w:rPr>
          <w:rFonts w:hint="eastAsia" w:ascii="黑体" w:hAnsi="黑体" w:eastAsia="黑体" w:cs="Times New Roman"/>
          <w:color w:val="auto"/>
          <w:kern w:val="2"/>
          <w:sz w:val="28"/>
          <w:szCs w:val="24"/>
          <w:lang w:val="en-US" w:eastAsia="zh-CN" w:bidi="ar-SA"/>
        </w:rPr>
      </w:pPr>
      <w:r>
        <w:rPr>
          <w:rFonts w:hint="eastAsia" w:ascii="宋体" w:hAnsi="宋体" w:eastAsiaTheme="minorEastAsia" w:cstheme="minorBidi"/>
          <w:color w:val="auto"/>
          <w:kern w:val="2"/>
          <w:sz w:val="24"/>
          <w:szCs w:val="24"/>
          <w:lang w:val="en-US" w:eastAsia="zh-CN" w:bidi="ar-SA"/>
        </w:rPr>
        <w:t>7</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投标人承诺同意由于招标人公司政策变化引起的随时终止项目的要求并承担由此带来的一切损失。</w:t>
      </w:r>
    </w:p>
    <w:p>
      <w:pPr>
        <w:spacing w:line="360" w:lineRule="auto"/>
        <w:jc w:val="left"/>
        <w:rPr>
          <w:rFonts w:hint="eastAsia" w:ascii="黑体" w:hAnsi="黑体" w:eastAsia="黑体"/>
          <w:color w:val="auto"/>
          <w:sz w:val="28"/>
          <w:szCs w:val="24"/>
        </w:rPr>
      </w:pPr>
      <w:r>
        <w:rPr>
          <w:rFonts w:hint="eastAsia" w:ascii="黑体" w:hAnsi="黑体" w:eastAsia="黑体"/>
          <w:color w:val="auto"/>
          <w:sz w:val="28"/>
          <w:szCs w:val="24"/>
        </w:rPr>
        <w:t>八、中标人瑕疵滞后发现的处理原则</w:t>
      </w:r>
    </w:p>
    <w:p>
      <w:pPr>
        <w:spacing w:line="360" w:lineRule="auto"/>
        <w:ind w:firstLine="480" w:firstLineChars="200"/>
        <w:jc w:val="left"/>
        <w:rPr>
          <w:rFonts w:hint="eastAsia" w:ascii="宋体" w:hAnsi="宋体" w:cstheme="minorBidi"/>
          <w:color w:val="auto"/>
          <w:sz w:val="24"/>
          <w:szCs w:val="24"/>
        </w:rPr>
      </w:pPr>
      <w:r>
        <w:rPr>
          <w:rFonts w:hint="eastAsia" w:ascii="宋体" w:hAnsi="宋体" w:cstheme="minorBidi"/>
          <w:color w:val="auto"/>
          <w:sz w:val="24"/>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pPr>
        <w:spacing w:line="360" w:lineRule="auto"/>
        <w:jc w:val="left"/>
        <w:rPr>
          <w:rFonts w:ascii="黑体" w:hAnsi="黑体" w:eastAsia="黑体"/>
          <w:color w:val="auto"/>
          <w:sz w:val="28"/>
          <w:szCs w:val="24"/>
        </w:rPr>
      </w:pPr>
      <w:r>
        <w:rPr>
          <w:rFonts w:hint="eastAsia" w:ascii="黑体" w:hAnsi="黑体" w:eastAsia="黑体" w:cs="黑体"/>
          <w:b w:val="0"/>
          <w:bCs w:val="0"/>
          <w:color w:val="auto"/>
          <w:kern w:val="0"/>
          <w:sz w:val="28"/>
          <w:szCs w:val="28"/>
          <w:highlight w:val="none"/>
          <w:lang w:val="en-US" w:eastAsia="zh-CN" w:bidi="ar"/>
        </w:rPr>
        <w:t>九、</w:t>
      </w:r>
      <w:r>
        <w:rPr>
          <w:rFonts w:hint="eastAsia" w:ascii="黑体" w:hAnsi="黑体" w:eastAsia="黑体"/>
          <w:color w:val="auto"/>
          <w:sz w:val="28"/>
          <w:szCs w:val="24"/>
        </w:rPr>
        <w:t>验收及违约责任交货期</w:t>
      </w:r>
    </w:p>
    <w:p>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hAnsi="宋体" w:cstheme="minorBidi"/>
          <w:color w:val="auto"/>
          <w:kern w:val="2"/>
          <w:sz w:val="24"/>
          <w:szCs w:val="24"/>
          <w:lang w:val="en-US" w:eastAsia="zh-CN" w:bidi="ar-SA"/>
        </w:rPr>
        <w:t>相关条款</w:t>
      </w:r>
      <w:r>
        <w:rPr>
          <w:rFonts w:hint="eastAsia" w:ascii="宋体" w:hAnsi="宋体" w:eastAsiaTheme="minorEastAsia" w:cstheme="minorBidi"/>
          <w:color w:val="auto"/>
          <w:kern w:val="2"/>
          <w:sz w:val="24"/>
          <w:szCs w:val="24"/>
          <w:lang w:val="en-US" w:eastAsia="zh-CN" w:bidi="ar-SA"/>
        </w:rPr>
        <w:t>以最终签署版合同为准，按照合同约定执行。</w:t>
      </w:r>
    </w:p>
    <w:p>
      <w:pPr>
        <w:keepNext w:val="0"/>
        <w:keepLines w:val="0"/>
        <w:pageBreakBefore w:val="0"/>
        <w:widowControl/>
        <w:numPr>
          <w:ilvl w:val="0"/>
          <w:numId w:val="0"/>
        </w:numPr>
        <w:suppressLineNumbers w:val="0"/>
        <w:kinsoku/>
        <w:wordWrap/>
        <w:overflowPunct/>
        <w:topLinePunct w:val="0"/>
        <w:bidi w:val="0"/>
        <w:snapToGrid/>
        <w:spacing w:line="440" w:lineRule="exact"/>
        <w:jc w:val="left"/>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olor w:val="auto"/>
          <w:sz w:val="28"/>
          <w:szCs w:val="24"/>
        </w:rPr>
        <w:t>十、</w:t>
      </w:r>
      <w:r>
        <w:rPr>
          <w:rFonts w:hint="eastAsia" w:ascii="黑体" w:hAnsi="黑体" w:eastAsia="黑体" w:cs="黑体"/>
          <w:b w:val="0"/>
          <w:bCs w:val="0"/>
          <w:color w:val="auto"/>
          <w:kern w:val="0"/>
          <w:sz w:val="28"/>
          <w:szCs w:val="28"/>
          <w:highlight w:val="none"/>
          <w:lang w:val="en-US" w:eastAsia="zh-CN" w:bidi="ar"/>
        </w:rPr>
        <w:t>付款条件及付款方式</w:t>
      </w:r>
    </w:p>
    <w:p>
      <w:pPr>
        <w:keepNext w:val="0"/>
        <w:keepLines w:val="0"/>
        <w:pageBreakBefore w:val="0"/>
        <w:kinsoku/>
        <w:wordWrap/>
        <w:overflowPunct/>
        <w:topLinePunct w:val="0"/>
        <w:autoSpaceDE w:val="0"/>
        <w:autoSpaceDN w:val="0"/>
        <w:bidi w:val="0"/>
        <w:adjustRightInd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招标人（甲方）与中标人（乙方）签订</w:t>
      </w:r>
      <w:r>
        <w:rPr>
          <w:rFonts w:hint="eastAsia" w:asciiTheme="minorEastAsia" w:hAnsiTheme="minorEastAsia" w:eastAsiaTheme="minorEastAsia" w:cstheme="minorEastAsia"/>
          <w:color w:val="auto"/>
          <w:sz w:val="24"/>
          <w:szCs w:val="24"/>
          <w:highlight w:val="none"/>
          <w:lang w:val="en-US" w:eastAsia="zh-CN"/>
        </w:rPr>
        <w:t>年度</w:t>
      </w:r>
      <w:r>
        <w:rPr>
          <w:rFonts w:hint="eastAsia" w:asciiTheme="minorEastAsia" w:hAnsiTheme="minorEastAsia" w:eastAsiaTheme="minorEastAsia" w:cstheme="minorEastAsia"/>
          <w:color w:val="auto"/>
          <w:sz w:val="24"/>
          <w:szCs w:val="24"/>
          <w:highlight w:val="none"/>
        </w:rPr>
        <w:t>服务合同后，乙方出具符合甲方要求的服务方案并完成执行</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每月度以实际执行场次进行结算</w:t>
      </w:r>
      <w:r>
        <w:rPr>
          <w:rFonts w:hint="eastAsia" w:asciiTheme="minorEastAsia" w:hAnsiTheme="minorEastAsia" w:cstheme="minorEastAsia"/>
          <w:color w:val="auto"/>
          <w:sz w:val="24"/>
          <w:szCs w:val="24"/>
          <w:highlight w:val="none"/>
          <w:lang w:eastAsia="zh-CN"/>
        </w:rPr>
        <w:t>。</w:t>
      </w:r>
    </w:p>
    <w:p>
      <w:pPr>
        <w:spacing w:line="360" w:lineRule="auto"/>
        <w:ind w:firstLine="480" w:firstLineChars="200"/>
        <w:jc w:val="left"/>
        <w:rPr>
          <w:rFonts w:hint="eastAsia" w:ascii="黑体" w:hAnsi="黑体" w:eastAsia="黑体" w:cs="黑体"/>
          <w:b w:val="0"/>
          <w:bCs w:val="0"/>
          <w:color w:val="auto"/>
          <w:kern w:val="0"/>
          <w:sz w:val="28"/>
          <w:szCs w:val="28"/>
          <w:highlight w:val="none"/>
          <w:lang w:val="en-US" w:eastAsia="zh-CN" w:bidi="ar"/>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付款方式：</w:t>
      </w:r>
      <w:r>
        <w:rPr>
          <w:rFonts w:hint="eastAsia" w:asciiTheme="minorEastAsia" w:hAnsiTheme="minorEastAsia" w:cstheme="minorEastAsia"/>
          <w:color w:val="auto"/>
          <w:sz w:val="24"/>
          <w:szCs w:val="24"/>
          <w:highlight w:val="none"/>
          <w:lang w:val="en-US" w:eastAsia="zh-CN"/>
        </w:rPr>
        <w:t>单场次培训项目完成后，经</w:t>
      </w:r>
      <w:r>
        <w:rPr>
          <w:rFonts w:hint="eastAsia" w:asciiTheme="minorEastAsia" w:hAnsiTheme="minorEastAsia" w:eastAsiaTheme="minorEastAsia" w:cstheme="minorEastAsia"/>
          <w:color w:val="auto"/>
          <w:sz w:val="24"/>
          <w:szCs w:val="24"/>
          <w:highlight w:val="none"/>
        </w:rPr>
        <w:t>验收合格，乙方开具符合甲方要求的增值税专用发票，甲方以银行</w:t>
      </w:r>
      <w:r>
        <w:rPr>
          <w:rFonts w:hint="eastAsia" w:asciiTheme="minorEastAsia" w:hAnsiTheme="minorEastAsia" w:eastAsiaTheme="minorEastAsia" w:cstheme="minorEastAsia"/>
          <w:color w:val="auto"/>
          <w:sz w:val="24"/>
          <w:szCs w:val="24"/>
          <w:highlight w:val="none"/>
          <w:lang w:val="en-US" w:eastAsia="zh-CN"/>
        </w:rPr>
        <w:t>转账</w:t>
      </w:r>
      <w:r>
        <w:rPr>
          <w:rFonts w:hint="eastAsia" w:asciiTheme="minorEastAsia" w:hAnsiTheme="minorEastAsia" w:eastAsiaTheme="minorEastAsia" w:cstheme="minorEastAsia"/>
          <w:color w:val="auto"/>
          <w:sz w:val="24"/>
          <w:szCs w:val="24"/>
          <w:highlight w:val="none"/>
        </w:rPr>
        <w:t>支付给乙方费用。具体付款时间及方式，以双方签订的合同约定为准。</w:t>
      </w:r>
    </w:p>
    <w:p>
      <w:pPr>
        <w:keepNext w:val="0"/>
        <w:keepLines w:val="0"/>
        <w:pageBreakBefore w:val="0"/>
        <w:widowControl/>
        <w:numPr>
          <w:ilvl w:val="0"/>
          <w:numId w:val="0"/>
        </w:numPr>
        <w:suppressLineNumbers w:val="0"/>
        <w:kinsoku/>
        <w:wordWrap/>
        <w:overflowPunct/>
        <w:topLinePunct w:val="0"/>
        <w:bidi w:val="0"/>
        <w:snapToGrid/>
        <w:spacing w:line="440" w:lineRule="exact"/>
        <w:jc w:val="left"/>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十一、投标费用及报价</w:t>
      </w:r>
    </w:p>
    <w:p>
      <w:pPr>
        <w:keepNext w:val="0"/>
        <w:keepLines w:val="0"/>
        <w:pageBreakBefore w:val="0"/>
        <w:widowControl/>
        <w:numPr>
          <w:ilvl w:val="0"/>
          <w:numId w:val="10"/>
        </w:numPr>
        <w:suppressLineNumbers w:val="0"/>
        <w:kinsoku/>
        <w:wordWrap/>
        <w:overflowPunct/>
        <w:topLinePunct w:val="0"/>
        <w:bidi w:val="0"/>
        <w:snapToGrid/>
        <w:spacing w:line="440" w:lineRule="exact"/>
        <w:ind w:left="420" w:leftChars="0" w:firstLineChars="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投标费用</w:t>
      </w:r>
    </w:p>
    <w:p>
      <w:pPr>
        <w:pStyle w:val="4"/>
        <w:keepNext w:val="0"/>
        <w:keepLines w:val="0"/>
        <w:pageBreakBefore w:val="0"/>
        <w:numPr>
          <w:ilvl w:val="0"/>
          <w:numId w:val="11"/>
        </w:numPr>
        <w:kinsoku/>
        <w:wordWrap/>
        <w:overflowPunct/>
        <w:topLinePunct w:val="0"/>
        <w:bidi w:val="0"/>
        <w:snapToGrid/>
        <w:spacing w:line="440" w:lineRule="exact"/>
        <w:ind w:left="-140" w:leftChars="0" w:firstLine="56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投标人在投标过程中发生的一切费用，无论中标与否，均由投标人自负。</w:t>
      </w:r>
    </w:p>
    <w:p>
      <w:pPr>
        <w:pStyle w:val="4"/>
        <w:keepNext w:val="0"/>
        <w:keepLines w:val="0"/>
        <w:pageBreakBefore w:val="0"/>
        <w:numPr>
          <w:ilvl w:val="0"/>
          <w:numId w:val="11"/>
        </w:numPr>
        <w:kinsoku/>
        <w:wordWrap/>
        <w:overflowPunct/>
        <w:topLinePunct w:val="0"/>
        <w:bidi w:val="0"/>
        <w:snapToGrid/>
        <w:spacing w:line="440" w:lineRule="exact"/>
        <w:ind w:left="-140" w:leftChars="0" w:firstLine="56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如需要了解项目情况，可到现场进行踏勘，获得有关编制投标文件所必需的现场资料，所需费用由投标人自理。踏勘现场过程中，投标人及其代表可能会对其自身或对第三方造成的人身伤害、财产损失或损坏，以及其他任何原因造成的损失、损坏或费用，须由投标人及其代表自行承担。</w:t>
      </w:r>
    </w:p>
    <w:p>
      <w:pPr>
        <w:pStyle w:val="4"/>
        <w:keepNext w:val="0"/>
        <w:keepLines w:val="0"/>
        <w:pageBreakBefore w:val="0"/>
        <w:numPr>
          <w:ilvl w:val="0"/>
          <w:numId w:val="11"/>
        </w:numPr>
        <w:kinsoku/>
        <w:wordWrap/>
        <w:overflowPunct/>
        <w:topLinePunct w:val="0"/>
        <w:bidi w:val="0"/>
        <w:snapToGrid/>
        <w:spacing w:line="440" w:lineRule="exact"/>
        <w:ind w:left="-140" w:leftChars="0" w:firstLine="56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投标人应充分了解自己中标后有可能承担的风险、责任和义务。</w:t>
      </w:r>
    </w:p>
    <w:p>
      <w:pPr>
        <w:keepNext w:val="0"/>
        <w:keepLines w:val="0"/>
        <w:pageBreakBefore w:val="0"/>
        <w:widowControl/>
        <w:numPr>
          <w:ilvl w:val="0"/>
          <w:numId w:val="10"/>
        </w:numPr>
        <w:suppressLineNumbers w:val="0"/>
        <w:kinsoku/>
        <w:wordWrap/>
        <w:overflowPunct/>
        <w:topLinePunct w:val="0"/>
        <w:bidi w:val="0"/>
        <w:snapToGrid/>
        <w:spacing w:line="440" w:lineRule="exact"/>
        <w:ind w:left="420" w:leftChars="0" w:firstLineChars="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rPr>
        <w:t>投标</w:t>
      </w:r>
      <w:r>
        <w:rPr>
          <w:rFonts w:hint="eastAsia" w:asciiTheme="minorEastAsia" w:hAnsiTheme="minorEastAsia" w:eastAsiaTheme="minorEastAsia" w:cstheme="minorEastAsia"/>
          <w:b w:val="0"/>
          <w:bCs w:val="0"/>
          <w:color w:val="auto"/>
          <w:sz w:val="24"/>
          <w:szCs w:val="24"/>
          <w:highlight w:val="none"/>
        </w:rPr>
        <w:t>报价</w:t>
      </w:r>
    </w:p>
    <w:p>
      <w:pPr>
        <w:pStyle w:val="16"/>
        <w:keepNext w:val="0"/>
        <w:keepLines w:val="0"/>
        <w:pageBreakBefore w:val="0"/>
        <w:numPr>
          <w:ilvl w:val="0"/>
          <w:numId w:val="12"/>
        </w:numPr>
        <w:kinsoku/>
        <w:wordWrap/>
        <w:overflowPunct/>
        <w:topLinePunct w:val="0"/>
        <w:bidi w:val="0"/>
        <w:snapToGrid/>
        <w:spacing w:line="440" w:lineRule="exact"/>
        <w:ind w:left="0" w:leftChars="0" w:firstLine="240" w:firstLineChars="1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报价单位：</w:t>
      </w:r>
      <w:r>
        <w:rPr>
          <w:rFonts w:hint="eastAsia" w:asciiTheme="minorEastAsia" w:hAnsiTheme="minorEastAsia" w:eastAsiaTheme="minorEastAsia" w:cstheme="minorEastAsia"/>
          <w:color w:val="auto"/>
          <w:sz w:val="24"/>
          <w:szCs w:val="24"/>
          <w:highlight w:val="none"/>
        </w:rPr>
        <w:t>人民币元</w:t>
      </w:r>
      <w:r>
        <w:rPr>
          <w:rFonts w:hint="eastAsia" w:asciiTheme="minorEastAsia" w:hAnsiTheme="minorEastAsia" w:eastAsiaTheme="minorEastAsia" w:cstheme="minorEastAsia"/>
          <w:color w:val="auto"/>
          <w:sz w:val="24"/>
          <w:szCs w:val="24"/>
          <w:highlight w:val="none"/>
          <w:lang w:eastAsia="zh-CN"/>
        </w:rPr>
        <w:t>。</w:t>
      </w:r>
    </w:p>
    <w:p>
      <w:pPr>
        <w:pStyle w:val="16"/>
        <w:keepNext w:val="0"/>
        <w:keepLines w:val="0"/>
        <w:pageBreakBefore w:val="0"/>
        <w:numPr>
          <w:ilvl w:val="0"/>
          <w:numId w:val="12"/>
        </w:numPr>
        <w:kinsoku/>
        <w:wordWrap/>
        <w:overflowPunct/>
        <w:topLinePunct w:val="0"/>
        <w:bidi w:val="0"/>
        <w:snapToGrid/>
        <w:spacing w:line="440" w:lineRule="exact"/>
        <w:ind w:left="0" w:leftChars="0" w:firstLine="240" w:firstLineChars="1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需充分了解招标项目服务工作范围、内容、承包方式及服务标准的要求，按照企业自身实力和实施经验进行报价，同时要充分考虑本项目的具体情况、市场竞争因素及各种风险。报价应包括合同签订到交付验收、执行过程中所包含的所有费用（包含但不限于：</w:t>
      </w:r>
      <w:r>
        <w:rPr>
          <w:rFonts w:hint="eastAsia" w:asciiTheme="minorEastAsia" w:hAnsiTheme="minorEastAsia" w:cstheme="minorEastAsia"/>
          <w:color w:val="auto"/>
          <w:kern w:val="2"/>
          <w:sz w:val="24"/>
          <w:szCs w:val="24"/>
          <w:highlight w:val="none"/>
          <w:lang w:val="en-US" w:eastAsia="zh-CN" w:bidi="ar-SA"/>
        </w:rPr>
        <w:t>服务</w:t>
      </w:r>
      <w:r>
        <w:rPr>
          <w:rFonts w:hint="eastAsia" w:asciiTheme="minorEastAsia" w:hAnsiTheme="minorEastAsia" w:eastAsiaTheme="minorEastAsia" w:cstheme="minorEastAsia"/>
          <w:color w:val="auto"/>
          <w:kern w:val="2"/>
          <w:sz w:val="24"/>
          <w:szCs w:val="24"/>
          <w:highlight w:val="none"/>
          <w:lang w:val="en-US" w:eastAsia="zh-CN" w:bidi="ar-SA"/>
        </w:rPr>
        <w:t>方案策划和</w:t>
      </w:r>
      <w:r>
        <w:rPr>
          <w:rFonts w:hint="eastAsia" w:asciiTheme="minorEastAsia" w:hAnsiTheme="minorEastAsia" w:cstheme="minorEastAsia"/>
          <w:color w:val="auto"/>
          <w:kern w:val="2"/>
          <w:sz w:val="24"/>
          <w:szCs w:val="24"/>
          <w:highlight w:val="none"/>
          <w:lang w:val="en-US" w:eastAsia="zh-CN" w:bidi="ar-SA"/>
        </w:rPr>
        <w:t>实际</w:t>
      </w:r>
      <w:r>
        <w:rPr>
          <w:rFonts w:hint="eastAsia" w:asciiTheme="minorEastAsia" w:hAnsiTheme="minorEastAsia" w:eastAsiaTheme="minorEastAsia" w:cstheme="minorEastAsia"/>
          <w:color w:val="auto"/>
          <w:kern w:val="2"/>
          <w:sz w:val="24"/>
          <w:szCs w:val="24"/>
          <w:highlight w:val="none"/>
          <w:lang w:val="en-US" w:eastAsia="zh-CN" w:bidi="ar-SA"/>
        </w:rPr>
        <w:t>执行成本，以及工商、税务、利润及人工等全部费用）</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cstheme="minorEastAsia"/>
          <w:color w:val="auto"/>
          <w:kern w:val="0"/>
          <w:sz w:val="24"/>
          <w:szCs w:val="24"/>
          <w:highlight w:val="none"/>
          <w:lang w:val="en-US" w:eastAsia="zh-CN" w:bidi="ar"/>
        </w:rPr>
        <w:t>投标单位报价必须涵盖所有类目，否则为无效投标。</w:t>
      </w:r>
    </w:p>
    <w:p>
      <w:pPr>
        <w:pStyle w:val="16"/>
        <w:keepNext w:val="0"/>
        <w:keepLines w:val="0"/>
        <w:pageBreakBefore w:val="0"/>
        <w:numPr>
          <w:ilvl w:val="0"/>
          <w:numId w:val="12"/>
        </w:numPr>
        <w:kinsoku/>
        <w:wordWrap/>
        <w:overflowPunct/>
        <w:topLinePunct w:val="0"/>
        <w:bidi w:val="0"/>
        <w:snapToGrid/>
        <w:spacing w:line="440" w:lineRule="exact"/>
        <w:ind w:left="0" w:leftChars="0" w:firstLine="240" w:firstLineChars="1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必须按照招标文件规定的格式和内容进行报价，报价格式可以扩展，但不得少于招标文件中规定的报价内容。对于投标人在投标报价中没有列出相应内容的服务项目，招标人将视为该项目的价格已包含在投标总价中。</w:t>
      </w:r>
    </w:p>
    <w:p>
      <w:pPr>
        <w:pStyle w:val="16"/>
        <w:keepNext w:val="0"/>
        <w:keepLines w:val="0"/>
        <w:pageBreakBefore w:val="0"/>
        <w:numPr>
          <w:ilvl w:val="0"/>
          <w:numId w:val="12"/>
        </w:numPr>
        <w:kinsoku/>
        <w:wordWrap/>
        <w:overflowPunct/>
        <w:topLinePunct w:val="0"/>
        <w:bidi w:val="0"/>
        <w:snapToGrid/>
        <w:spacing w:line="440" w:lineRule="exact"/>
        <w:ind w:left="0" w:leftChars="0" w:firstLine="240" w:firstLineChars="100"/>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如本项目在实施过程中发现，投标方未根据招标文件要求报价，但确属完成本项目所必需的工序，投标方应免费完成该项目。若因需求变化产生新增项目，可由双方共同协商确定。</w:t>
      </w:r>
    </w:p>
    <w:p>
      <w:pPr>
        <w:pStyle w:val="4"/>
        <w:spacing w:line="360" w:lineRule="auto"/>
        <w:rPr>
          <w:rFonts w:hint="eastAsia" w:ascii="黑体" w:hAnsi="黑体" w:eastAsia="黑体" w:cs="Times New Roman"/>
          <w:color w:val="auto"/>
          <w:kern w:val="2"/>
          <w:sz w:val="28"/>
          <w:szCs w:val="24"/>
          <w:lang w:val="en-US" w:eastAsia="zh-CN" w:bidi="ar-SA"/>
        </w:rPr>
      </w:pPr>
      <w:r>
        <w:rPr>
          <w:rFonts w:hint="eastAsia" w:ascii="黑体" w:hAnsi="黑体" w:eastAsia="黑体" w:cs="Times New Roman"/>
          <w:color w:val="auto"/>
          <w:kern w:val="2"/>
          <w:sz w:val="28"/>
          <w:szCs w:val="24"/>
          <w:lang w:val="en-US" w:eastAsia="zh-CN" w:bidi="ar-SA"/>
        </w:rPr>
        <w:t>十二、最终解释权</w:t>
      </w:r>
    </w:p>
    <w:p>
      <w:pPr>
        <w:pStyle w:val="4"/>
        <w:spacing w:line="360" w:lineRule="auto"/>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本次招标最终解释权归中国重汽集团成都王牌商用车有限公司所有。</w:t>
      </w:r>
    </w:p>
    <w:p>
      <w:pPr>
        <w:spacing w:line="360" w:lineRule="auto"/>
        <w:jc w:val="both"/>
        <w:rPr>
          <w:rFonts w:hint="eastAsia" w:ascii="黑体" w:hAnsi="黑体" w:eastAsia="黑体"/>
          <w:color w:val="auto"/>
          <w:sz w:val="36"/>
          <w:szCs w:val="24"/>
        </w:rPr>
      </w:pPr>
    </w:p>
    <w:p>
      <w:pPr>
        <w:spacing w:line="360" w:lineRule="auto"/>
        <w:jc w:val="both"/>
        <w:rPr>
          <w:rFonts w:hint="eastAsia" w:ascii="黑体" w:hAnsi="黑体" w:eastAsia="黑体"/>
          <w:color w:val="auto"/>
          <w:sz w:val="36"/>
          <w:szCs w:val="24"/>
        </w:rPr>
      </w:pPr>
    </w:p>
    <w:p>
      <w:pPr>
        <w:spacing w:line="360" w:lineRule="auto"/>
        <w:jc w:val="center"/>
        <w:rPr>
          <w:rFonts w:ascii="黑体" w:hAnsi="黑体" w:eastAsia="黑体"/>
          <w:color w:val="auto"/>
          <w:sz w:val="36"/>
          <w:szCs w:val="24"/>
        </w:rPr>
      </w:pPr>
      <w:r>
        <w:rPr>
          <w:rFonts w:hint="eastAsia" w:ascii="黑体" w:hAnsi="黑体" w:eastAsia="黑体"/>
          <w:color w:val="auto"/>
          <w:sz w:val="36"/>
          <w:szCs w:val="24"/>
        </w:rPr>
        <w:t>第二章</w:t>
      </w:r>
      <w:r>
        <w:rPr>
          <w:rFonts w:hint="eastAsia" w:ascii="黑体" w:hAnsi="黑体" w:eastAsia="黑体"/>
          <w:color w:val="auto"/>
          <w:sz w:val="36"/>
          <w:szCs w:val="24"/>
          <w:lang w:val="en-US" w:eastAsia="zh-CN"/>
        </w:rPr>
        <w:t xml:space="preserve"> </w:t>
      </w:r>
      <w:r>
        <w:rPr>
          <w:rFonts w:hint="eastAsia" w:ascii="黑体" w:hAnsi="黑体" w:eastAsia="黑体"/>
          <w:color w:val="auto"/>
          <w:sz w:val="36"/>
          <w:szCs w:val="24"/>
        </w:rPr>
        <w:t>技术规范与评标</w:t>
      </w:r>
    </w:p>
    <w:p>
      <w:pPr>
        <w:keepNext w:val="0"/>
        <w:keepLines w:val="0"/>
        <w:pageBreakBefore w:val="0"/>
        <w:widowControl/>
        <w:numPr>
          <w:ilvl w:val="0"/>
          <w:numId w:val="0"/>
        </w:numPr>
        <w:suppressLineNumbers w:val="0"/>
        <w:kinsoku/>
        <w:wordWrap/>
        <w:overflowPunct/>
        <w:topLinePunct w:val="0"/>
        <w:bidi w:val="0"/>
        <w:snapToGrid/>
        <w:spacing w:line="440" w:lineRule="exact"/>
        <w:jc w:val="left"/>
        <w:textAlignment w:val="auto"/>
        <w:rPr>
          <w:rFonts w:hint="eastAsia" w:ascii="黑体" w:hAnsi="黑体" w:eastAsia="黑体" w:cs="黑体"/>
          <w:b w:val="0"/>
          <w:bCs w:val="0"/>
          <w:color w:val="auto"/>
          <w:kern w:val="0"/>
          <w:sz w:val="28"/>
          <w:szCs w:val="28"/>
          <w:highlight w:val="none"/>
          <w:lang w:val="en-US" w:eastAsia="zh-CN" w:bidi="ar"/>
        </w:rPr>
      </w:pPr>
    </w:p>
    <w:p>
      <w:pPr>
        <w:keepNext w:val="0"/>
        <w:keepLines w:val="0"/>
        <w:pageBreakBefore w:val="0"/>
        <w:widowControl/>
        <w:numPr>
          <w:ilvl w:val="0"/>
          <w:numId w:val="13"/>
        </w:numPr>
        <w:suppressLineNumbers w:val="0"/>
        <w:kinsoku/>
        <w:wordWrap/>
        <w:overflowPunct/>
        <w:topLinePunct w:val="0"/>
        <w:bidi w:val="0"/>
        <w:snapToGrid/>
        <w:spacing w:line="440" w:lineRule="exact"/>
        <w:jc w:val="left"/>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技术标准</w:t>
      </w:r>
    </w:p>
    <w:p>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eastAsia="zh-CN" w:bidi="ar-SA"/>
        </w:rPr>
        <w:t>投标人应与招标人指派的答疑人员充分沟通，充分理解并接受相关技术规范及服务要求，投标时需响应所含类目。招标人保留从所有投标文件中选择的权利，不保证最低价中标。投标人一旦中标后，所涉及相关的知识产权均属招标人所有。</w:t>
      </w:r>
    </w:p>
    <w:p>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eastAsia="zh-CN" w:bidi="ar-SA"/>
        </w:rPr>
        <w:t>投标人需根据项目需求准备技术竞标方案，充分展示其课件开发能力，辅导培训实力、</w:t>
      </w:r>
      <w:r>
        <w:rPr>
          <w:rFonts w:hint="eastAsia" w:asciiTheme="minorEastAsia" w:hAnsiTheme="minorEastAsia" w:cstheme="minorEastAsia"/>
          <w:color w:val="auto"/>
          <w:kern w:val="2"/>
          <w:sz w:val="24"/>
          <w:szCs w:val="24"/>
          <w:highlight w:val="none"/>
          <w:lang w:val="en-US" w:eastAsia="zh-CN" w:bidi="ar-SA"/>
        </w:rPr>
        <w:t>经销商账号运营</w:t>
      </w:r>
      <w:r>
        <w:rPr>
          <w:rFonts w:hint="eastAsia" w:asciiTheme="minorEastAsia" w:hAnsiTheme="minorEastAsia" w:eastAsiaTheme="minorEastAsia" w:cstheme="minorEastAsia"/>
          <w:color w:val="auto"/>
          <w:kern w:val="2"/>
          <w:sz w:val="24"/>
          <w:szCs w:val="24"/>
          <w:highlight w:val="none"/>
          <w:lang w:val="en-US" w:eastAsia="zh-CN" w:bidi="ar-SA"/>
        </w:rPr>
        <w:t>提升举措、项目执行团队实力经验及项目管理等能力</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竞标方案需包括但不局限于以下内容：</w:t>
      </w:r>
    </w:p>
    <w:p>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eastAsia="zh-CN" w:bidi="ar-SA"/>
        </w:rPr>
        <w:t>公司</w:t>
      </w:r>
      <w:r>
        <w:rPr>
          <w:rFonts w:hint="eastAsia" w:asciiTheme="minorEastAsia" w:hAnsiTheme="minorEastAsia" w:cstheme="minorEastAsia"/>
          <w:color w:val="auto"/>
          <w:kern w:val="2"/>
          <w:sz w:val="24"/>
          <w:szCs w:val="24"/>
          <w:highlight w:val="none"/>
          <w:lang w:val="en-US" w:eastAsia="zh-CN" w:bidi="ar-SA"/>
        </w:rPr>
        <w:t>实力</w:t>
      </w:r>
      <w:r>
        <w:rPr>
          <w:rFonts w:hint="eastAsia" w:asciiTheme="minorEastAsia" w:hAnsiTheme="minorEastAsia" w:eastAsiaTheme="minorEastAsia" w:cstheme="minorEastAsia"/>
          <w:color w:val="auto"/>
          <w:kern w:val="2"/>
          <w:sz w:val="24"/>
          <w:szCs w:val="24"/>
          <w:highlight w:val="none"/>
          <w:lang w:val="en-US" w:eastAsia="zh-CN" w:bidi="ar-SA"/>
        </w:rPr>
        <w:t>介绍及过往成功案例展示：汽车或卡车类合作厂家及经销商数字</w:t>
      </w:r>
      <w:r>
        <w:rPr>
          <w:rFonts w:hint="eastAsia" w:asciiTheme="minorEastAsia" w:hAnsiTheme="minorEastAsia" w:cstheme="minorEastAsia"/>
          <w:color w:val="auto"/>
          <w:kern w:val="2"/>
          <w:sz w:val="24"/>
          <w:szCs w:val="24"/>
          <w:highlight w:val="none"/>
          <w:lang w:val="en-US" w:eastAsia="zh-CN" w:bidi="ar-SA"/>
        </w:rPr>
        <w:t>化</w:t>
      </w:r>
      <w:r>
        <w:rPr>
          <w:rFonts w:hint="eastAsia" w:asciiTheme="minorEastAsia" w:hAnsiTheme="minorEastAsia" w:eastAsiaTheme="minorEastAsia" w:cstheme="minorEastAsia"/>
          <w:color w:val="auto"/>
          <w:kern w:val="2"/>
          <w:sz w:val="24"/>
          <w:szCs w:val="24"/>
          <w:highlight w:val="none"/>
          <w:lang w:val="en-US" w:eastAsia="zh-CN" w:bidi="ar-SA"/>
        </w:rPr>
        <w:t>营销服务案例</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服务项目、服务内容；短视频、直播等培训体系的搭建</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课件开发</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专项辅导</w:t>
      </w:r>
      <w:r>
        <w:rPr>
          <w:rFonts w:hint="eastAsia" w:asciiTheme="minorEastAsia" w:hAnsiTheme="minorEastAsia" w:cstheme="minorEastAsia"/>
          <w:color w:val="auto"/>
          <w:kern w:val="2"/>
          <w:sz w:val="24"/>
          <w:szCs w:val="24"/>
          <w:highlight w:val="none"/>
          <w:lang w:val="en-US" w:eastAsia="zh-CN" w:bidi="ar-SA"/>
        </w:rPr>
        <w:t>等</w:t>
      </w:r>
      <w:r>
        <w:rPr>
          <w:rFonts w:hint="eastAsia" w:asciiTheme="minorEastAsia" w:hAnsiTheme="minorEastAsia" w:eastAsiaTheme="minorEastAsia" w:cstheme="minorEastAsia"/>
          <w:color w:val="auto"/>
          <w:kern w:val="2"/>
          <w:sz w:val="24"/>
          <w:szCs w:val="24"/>
          <w:highlight w:val="none"/>
          <w:lang w:val="en-US" w:eastAsia="zh-CN" w:bidi="ar-SA"/>
        </w:rPr>
        <w:t>。</w:t>
      </w:r>
    </w:p>
    <w:p>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eastAsia="zh-CN" w:bidi="ar-SA"/>
        </w:rPr>
        <w:t>）出具详实的课程方案、价格方案。课程应根据</w:t>
      </w:r>
      <w:r>
        <w:rPr>
          <w:rFonts w:hint="eastAsia" w:asciiTheme="minorEastAsia" w:hAnsiTheme="minorEastAsia" w:cstheme="minorEastAsia"/>
          <w:color w:val="auto"/>
          <w:kern w:val="2"/>
          <w:sz w:val="24"/>
          <w:szCs w:val="24"/>
          <w:highlight w:val="none"/>
          <w:lang w:val="en-US" w:eastAsia="zh-CN" w:bidi="ar-SA"/>
        </w:rPr>
        <w:t>招标方</w:t>
      </w:r>
      <w:r>
        <w:rPr>
          <w:rFonts w:hint="eastAsia" w:asciiTheme="minorEastAsia" w:hAnsiTheme="minorEastAsia" w:eastAsiaTheme="minorEastAsia" w:cstheme="minorEastAsia"/>
          <w:color w:val="auto"/>
          <w:kern w:val="2"/>
          <w:sz w:val="24"/>
          <w:szCs w:val="24"/>
          <w:highlight w:val="none"/>
          <w:lang w:val="en-US" w:eastAsia="zh-CN" w:bidi="ar-SA"/>
        </w:rPr>
        <w:t>企业实际情况所设计，具有实战性和操作性。项目运营必须包含课前调研准备、课前实施预热、课中培训赋能、课中汇报总结、课后行动实践、课后实践跟进反馈、课程核心知识点萃取提炼。</w:t>
      </w:r>
    </w:p>
    <w:p>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en-US" w:eastAsia="zh-CN" w:bidi="ar-SA"/>
        </w:rPr>
        <w:t>本项目团队介绍：提供本项目执行团队人员详细经验履历，包括核心岗位人员过往主机厂/经销商培训案例作品、销售提升工具包、辅导培训照片和视频，充分展示本次执行项目组的专业能力及经验；课件开发制作团队要求专人专岗，视频与平面各自独立，分别执行制作，人员不可互相兼职替代；项目整体服务团队一经确认，非招标人要求及确认，项目核心人员中途不得随意更换。培训讲师应具有</w:t>
      </w:r>
      <w:r>
        <w:rPr>
          <w:rFonts w:hint="eastAsia" w:asciiTheme="minorEastAsia" w:hAnsiTheme="minorEastAsia" w:cstheme="minorEastAsia"/>
          <w:color w:val="auto"/>
          <w:kern w:val="2"/>
          <w:sz w:val="24"/>
          <w:szCs w:val="24"/>
          <w:highlight w:val="none"/>
          <w:lang w:val="en-US" w:eastAsia="zh-CN" w:bidi="ar-SA"/>
        </w:rPr>
        <w:t>至少3</w:t>
      </w:r>
      <w:r>
        <w:rPr>
          <w:rFonts w:hint="eastAsia" w:asciiTheme="minorEastAsia" w:hAnsiTheme="minorEastAsia" w:eastAsiaTheme="minorEastAsia" w:cstheme="minorEastAsia"/>
          <w:color w:val="auto"/>
          <w:kern w:val="2"/>
          <w:sz w:val="24"/>
          <w:szCs w:val="24"/>
          <w:highlight w:val="none"/>
          <w:lang w:val="en-US" w:eastAsia="zh-CN" w:bidi="ar-SA"/>
        </w:rPr>
        <w:t>年以上的培训经验，具有把教学内容与实践能力相结合的能力，可以将理论知识演绎得生动易懂。保障课程设计到执行的统一性，授课老师课前需进行课程认证，经</w:t>
      </w:r>
      <w:r>
        <w:rPr>
          <w:rFonts w:hint="eastAsia" w:asciiTheme="minorEastAsia" w:hAnsiTheme="minorEastAsia" w:cstheme="minorEastAsia"/>
          <w:color w:val="auto"/>
          <w:kern w:val="2"/>
          <w:sz w:val="24"/>
          <w:szCs w:val="24"/>
          <w:highlight w:val="none"/>
          <w:lang w:val="en-US" w:eastAsia="zh-CN" w:bidi="ar-SA"/>
        </w:rPr>
        <w:t>投标人确认</w:t>
      </w:r>
      <w:r>
        <w:rPr>
          <w:rFonts w:hint="eastAsia" w:asciiTheme="minorEastAsia" w:hAnsiTheme="minorEastAsia" w:eastAsiaTheme="minorEastAsia" w:cstheme="minorEastAsia"/>
          <w:color w:val="auto"/>
          <w:kern w:val="2"/>
          <w:sz w:val="24"/>
          <w:szCs w:val="24"/>
          <w:highlight w:val="none"/>
          <w:lang w:val="en-US" w:eastAsia="zh-CN" w:bidi="ar-SA"/>
        </w:rPr>
        <w:t>通过后才可进行授课。培训师应极为重视和学员之间的互动交流，以此来激发学员充分参与，提高学员关注度，达到最佳的授课效果。</w:t>
      </w:r>
    </w:p>
    <w:p>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（4）</w:t>
      </w:r>
      <w:r>
        <w:rPr>
          <w:rFonts w:hint="eastAsia" w:asciiTheme="minorEastAsia" w:hAnsiTheme="minorEastAsia" w:eastAsiaTheme="minorEastAsia" w:cstheme="minorEastAsia"/>
          <w:color w:val="auto"/>
          <w:kern w:val="2"/>
          <w:sz w:val="24"/>
          <w:szCs w:val="24"/>
          <w:highlight w:val="none"/>
          <w:lang w:val="en-US" w:eastAsia="zh-CN" w:bidi="ar-SA"/>
        </w:rPr>
        <w:t>项目管理：配合项目要求及节奏，制定项目详尽的执行计划、应急保障方案等，最大化调度各方资源，保证项目的成品质量及交付节点</w:t>
      </w:r>
      <w:r>
        <w:rPr>
          <w:rFonts w:hint="eastAsia" w:asciiTheme="minorEastAsia" w:hAnsiTheme="minorEastAsia" w:cstheme="minorEastAsia"/>
          <w:color w:val="auto"/>
          <w:kern w:val="2"/>
          <w:sz w:val="24"/>
          <w:szCs w:val="24"/>
          <w:highlight w:val="none"/>
          <w:lang w:val="en-US" w:eastAsia="zh-CN" w:bidi="ar-SA"/>
        </w:rPr>
        <w:t>。</w:t>
      </w:r>
    </w:p>
    <w:p>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（5）</w:t>
      </w:r>
      <w:r>
        <w:rPr>
          <w:rFonts w:hint="eastAsia" w:asciiTheme="minorEastAsia" w:hAnsiTheme="minorEastAsia" w:eastAsiaTheme="minorEastAsia" w:cstheme="minorEastAsia"/>
          <w:color w:val="auto"/>
          <w:kern w:val="2"/>
          <w:sz w:val="24"/>
          <w:szCs w:val="24"/>
          <w:highlight w:val="none"/>
          <w:lang w:val="en-US" w:eastAsia="zh-CN" w:bidi="ar-SA"/>
        </w:rPr>
        <w:t>增值服务：包括但不限于以下内容：在项目紧急、重要阶段（例</w:t>
      </w:r>
      <w:r>
        <w:rPr>
          <w:rFonts w:hint="eastAsia" w:asciiTheme="minorEastAsia" w:hAnsiTheme="minorEastAsia" w:cstheme="minorEastAsia"/>
          <w:color w:val="auto"/>
          <w:kern w:val="2"/>
          <w:sz w:val="24"/>
          <w:szCs w:val="24"/>
          <w:highlight w:val="none"/>
          <w:lang w:val="en-US" w:eastAsia="zh-CN" w:bidi="ar-SA"/>
        </w:rPr>
        <w:t>如</w:t>
      </w:r>
      <w:r>
        <w:rPr>
          <w:rFonts w:hint="eastAsia" w:asciiTheme="minorEastAsia" w:hAnsiTheme="minorEastAsia" w:eastAsiaTheme="minorEastAsia" w:cstheme="minorEastAsia"/>
          <w:color w:val="auto"/>
          <w:kern w:val="2"/>
          <w:sz w:val="24"/>
          <w:szCs w:val="24"/>
          <w:highlight w:val="none"/>
          <w:lang w:val="en-US" w:eastAsia="zh-CN" w:bidi="ar-SA"/>
        </w:rPr>
        <w:t>新产品上市发布</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重点标杆店面打造），</w:t>
      </w:r>
      <w:r>
        <w:rPr>
          <w:rFonts w:hint="eastAsia" w:asciiTheme="minorEastAsia" w:hAnsiTheme="minorEastAsia" w:cstheme="minorEastAsia"/>
          <w:color w:val="auto"/>
          <w:kern w:val="2"/>
          <w:sz w:val="24"/>
          <w:szCs w:val="24"/>
          <w:highlight w:val="none"/>
          <w:lang w:val="en-US" w:eastAsia="zh-CN" w:bidi="ar-SA"/>
        </w:rPr>
        <w:t>或培训项目结束后1个自然月，</w:t>
      </w:r>
      <w:r>
        <w:rPr>
          <w:rFonts w:hint="eastAsia" w:asciiTheme="minorEastAsia" w:hAnsiTheme="minorEastAsia" w:eastAsiaTheme="minorEastAsia" w:cstheme="minorEastAsia"/>
          <w:color w:val="auto"/>
          <w:kern w:val="2"/>
          <w:sz w:val="24"/>
          <w:szCs w:val="24"/>
          <w:highlight w:val="none"/>
          <w:lang w:val="en-US" w:eastAsia="zh-CN" w:bidi="ar-SA"/>
        </w:rPr>
        <w:t>根据招标人要求，指定至少1名辅导老师为甲方日常咨询顾问，该辅导老师有义务通过书面或电子邮件形式，对招标人员工及经销商实施营销工作指导意见。</w:t>
      </w:r>
    </w:p>
    <w:p>
      <w:pPr>
        <w:keepNext w:val="0"/>
        <w:keepLines w:val="0"/>
        <w:pageBreakBefore w:val="0"/>
        <w:widowControl/>
        <w:numPr>
          <w:ilvl w:val="0"/>
          <w:numId w:val="0"/>
        </w:numPr>
        <w:suppressLineNumbers w:val="0"/>
        <w:kinsoku/>
        <w:wordWrap/>
        <w:overflowPunct/>
        <w:topLinePunct w:val="0"/>
        <w:bidi w:val="0"/>
        <w:snapToGrid/>
        <w:spacing w:line="440" w:lineRule="exact"/>
        <w:jc w:val="left"/>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二、评分标准</w:t>
      </w:r>
    </w:p>
    <w:p>
      <w:pPr>
        <w:spacing w:line="360" w:lineRule="auto"/>
        <w:ind w:firstLine="480" w:firstLineChars="200"/>
        <w:jc w:val="left"/>
        <w:rPr>
          <w:rFonts w:hint="eastAsia" w:ascii="宋体" w:hAnsi="宋体" w:cstheme="minorBidi"/>
          <w:color w:val="auto"/>
          <w:sz w:val="24"/>
          <w:szCs w:val="24"/>
        </w:rPr>
      </w:pPr>
      <w:r>
        <w:rPr>
          <w:rFonts w:hint="eastAsia" w:ascii="宋体" w:hAnsi="宋体" w:cstheme="minorBidi"/>
          <w:color w:val="auto"/>
          <w:sz w:val="24"/>
          <w:szCs w:val="24"/>
        </w:rPr>
        <w:t>1</w:t>
      </w:r>
      <w:r>
        <w:rPr>
          <w:rFonts w:hint="eastAsia" w:ascii="宋体" w:hAnsi="宋体" w:cstheme="minorBidi"/>
          <w:color w:val="auto"/>
          <w:sz w:val="24"/>
          <w:szCs w:val="24"/>
          <w:lang w:eastAsia="zh-CN"/>
        </w:rPr>
        <w:t>、</w:t>
      </w:r>
      <w:r>
        <w:rPr>
          <w:rFonts w:hint="eastAsia" w:ascii="宋体" w:hAnsi="宋体" w:cstheme="minorBidi"/>
          <w:color w:val="auto"/>
          <w:sz w:val="24"/>
          <w:szCs w:val="24"/>
        </w:rPr>
        <w:t>招标人将坚持“公开、公平、公正”原则，严格按照国家法律法规及公司规章制度要求，设立专家评审小组进行招标评审。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theme="minorBidi"/>
          <w:color w:val="auto"/>
          <w:kern w:val="2"/>
          <w:sz w:val="24"/>
          <w:szCs w:val="24"/>
          <w:lang w:val="en-US" w:eastAsia="zh-CN" w:bidi="ar-SA"/>
        </w:rPr>
      </w:pPr>
      <w:r>
        <w:rPr>
          <w:rFonts w:hint="eastAsia" w:ascii="宋体" w:hAnsi="宋体" w:cstheme="minorBidi"/>
          <w:color w:val="auto"/>
          <w:kern w:val="2"/>
          <w:sz w:val="24"/>
          <w:szCs w:val="24"/>
          <w:lang w:val="en-US" w:eastAsia="zh-CN" w:bidi="ar-SA"/>
        </w:rPr>
        <w:t>2、</w:t>
      </w:r>
      <w:r>
        <w:rPr>
          <w:rFonts w:hint="eastAsia" w:ascii="宋体" w:hAnsi="宋体" w:eastAsiaTheme="minorEastAsia" w:cstheme="minorBidi"/>
          <w:color w:val="auto"/>
          <w:kern w:val="2"/>
          <w:sz w:val="24"/>
          <w:szCs w:val="24"/>
          <w:lang w:val="en-US" w:eastAsia="zh-CN" w:bidi="ar-SA"/>
        </w:rPr>
        <w:t>评审小组专家成员先进行技术标</w:t>
      </w:r>
      <w:r>
        <w:rPr>
          <w:rFonts w:hint="eastAsia" w:ascii="宋体" w:hAnsi="宋体" w:cstheme="minorBidi"/>
          <w:color w:val="auto"/>
          <w:kern w:val="2"/>
          <w:sz w:val="24"/>
          <w:szCs w:val="24"/>
          <w:lang w:val="en-US" w:eastAsia="zh-CN" w:bidi="ar-SA"/>
        </w:rPr>
        <w:t>评议</w:t>
      </w:r>
      <w:r>
        <w:rPr>
          <w:rFonts w:hint="eastAsia" w:ascii="宋体" w:hAnsi="宋体" w:eastAsiaTheme="minorEastAsia" w:cstheme="minorBidi"/>
          <w:color w:val="auto"/>
          <w:kern w:val="2"/>
          <w:sz w:val="24"/>
          <w:szCs w:val="24"/>
          <w:lang w:val="en-US" w:eastAsia="zh-CN" w:bidi="ar-SA"/>
        </w:rPr>
        <w:t>、后进行商务标</w:t>
      </w:r>
      <w:r>
        <w:rPr>
          <w:rFonts w:hint="eastAsia" w:ascii="宋体" w:hAnsi="宋体" w:cstheme="minorBidi"/>
          <w:color w:val="auto"/>
          <w:kern w:val="2"/>
          <w:sz w:val="24"/>
          <w:szCs w:val="24"/>
          <w:lang w:val="en-US" w:eastAsia="zh-CN" w:bidi="ar-SA"/>
        </w:rPr>
        <w:t>评议</w:t>
      </w:r>
      <w:r>
        <w:rPr>
          <w:rFonts w:hint="eastAsia" w:ascii="宋体" w:hAnsi="宋体" w:eastAsiaTheme="minorEastAsia" w:cstheme="minorBidi"/>
          <w:color w:val="auto"/>
          <w:kern w:val="2"/>
          <w:sz w:val="24"/>
          <w:szCs w:val="24"/>
          <w:lang w:val="en-US" w:eastAsia="zh-CN" w:bidi="ar-SA"/>
        </w:rPr>
        <w:t>。本次招标的评标方式为综合评标法，其中技术标占比40%，商务标占比60%。技术标总分100分，得分</w:t>
      </w:r>
      <w:r>
        <w:rPr>
          <w:rFonts w:hint="eastAsia" w:ascii="宋体" w:hAnsi="宋体" w:cstheme="minorBidi"/>
          <w:color w:val="auto"/>
          <w:kern w:val="2"/>
          <w:sz w:val="24"/>
          <w:szCs w:val="24"/>
          <w:lang w:val="en-US" w:eastAsia="zh-CN" w:bidi="ar-SA"/>
        </w:rPr>
        <w:t>达</w:t>
      </w:r>
      <w:r>
        <w:rPr>
          <w:rFonts w:hint="eastAsia" w:ascii="宋体" w:hAnsi="宋体" w:eastAsiaTheme="minorEastAsia" w:cstheme="minorBidi"/>
          <w:color w:val="auto"/>
          <w:kern w:val="2"/>
          <w:sz w:val="24"/>
          <w:szCs w:val="24"/>
          <w:lang w:val="en-US" w:eastAsia="zh-CN" w:bidi="ar-SA"/>
        </w:rPr>
        <w:t>80分及以上入围商务标</w:t>
      </w:r>
      <w:r>
        <w:rPr>
          <w:rFonts w:hint="eastAsia" w:ascii="宋体"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商务标总分100分</w:t>
      </w:r>
      <w:r>
        <w:rPr>
          <w:rFonts w:hint="eastAsia" w:ascii="宋体" w:hAnsi="宋体" w:cstheme="minorBidi"/>
          <w:color w:val="auto"/>
          <w:kern w:val="2"/>
          <w:sz w:val="24"/>
          <w:szCs w:val="24"/>
          <w:lang w:val="en-US" w:eastAsia="zh-CN" w:bidi="ar-SA"/>
        </w:rPr>
        <w:t>，</w:t>
      </w:r>
      <w:r>
        <w:rPr>
          <w:rFonts w:hint="eastAsia" w:asciiTheme="minorEastAsia" w:hAnsiTheme="minorEastAsia" w:eastAsiaTheme="minorEastAsia" w:cstheme="minorEastAsia"/>
          <w:color w:val="auto"/>
          <w:kern w:val="0"/>
          <w:sz w:val="24"/>
          <w:szCs w:val="24"/>
          <w:highlight w:val="none"/>
        </w:rPr>
        <w:t>按</w:t>
      </w:r>
      <w:r>
        <w:rPr>
          <w:rFonts w:hint="eastAsia" w:asciiTheme="minorEastAsia" w:hAnsiTheme="minorEastAsia" w:cstheme="minorEastAsia"/>
          <w:color w:val="auto"/>
          <w:kern w:val="0"/>
          <w:sz w:val="24"/>
          <w:szCs w:val="24"/>
          <w:highlight w:val="none"/>
          <w:lang w:val="en-US" w:eastAsia="zh-CN"/>
        </w:rPr>
        <w:t>预估</w:t>
      </w:r>
      <w:r>
        <w:rPr>
          <w:rFonts w:hint="eastAsia" w:asciiTheme="minorEastAsia" w:hAnsiTheme="minorEastAsia" w:eastAsiaTheme="minorEastAsia" w:cstheme="minorEastAsia"/>
          <w:color w:val="auto"/>
          <w:kern w:val="0"/>
          <w:sz w:val="24"/>
          <w:szCs w:val="24"/>
          <w:highlight w:val="none"/>
        </w:rPr>
        <w:t>项目</w:t>
      </w:r>
      <w:r>
        <w:rPr>
          <w:rFonts w:hint="eastAsia" w:asciiTheme="minorEastAsia" w:hAnsiTheme="minorEastAsia" w:cstheme="minorEastAsia"/>
          <w:color w:val="auto"/>
          <w:kern w:val="0"/>
          <w:sz w:val="24"/>
          <w:szCs w:val="24"/>
          <w:highlight w:val="none"/>
          <w:lang w:val="en-US" w:eastAsia="zh-CN"/>
        </w:rPr>
        <w:t>规模</w:t>
      </w:r>
      <w:r>
        <w:rPr>
          <w:rFonts w:hint="eastAsia" w:asciiTheme="minorEastAsia" w:hAnsiTheme="minorEastAsia" w:eastAsiaTheme="minorEastAsia" w:cstheme="minorEastAsia"/>
          <w:color w:val="auto"/>
          <w:kern w:val="0"/>
          <w:sz w:val="24"/>
          <w:szCs w:val="24"/>
          <w:highlight w:val="none"/>
        </w:rPr>
        <w:t>进行</w:t>
      </w:r>
      <w:r>
        <w:rPr>
          <w:rFonts w:hint="eastAsia" w:asciiTheme="minorEastAsia" w:hAnsiTheme="minorEastAsia" w:cstheme="minorEastAsia"/>
          <w:color w:val="auto"/>
          <w:kern w:val="0"/>
          <w:sz w:val="24"/>
          <w:szCs w:val="24"/>
          <w:highlight w:val="none"/>
          <w:lang w:val="en-US" w:eastAsia="zh-CN"/>
        </w:rPr>
        <w:t>单场次</w:t>
      </w:r>
      <w:r>
        <w:rPr>
          <w:rFonts w:hint="eastAsia" w:asciiTheme="minorEastAsia" w:hAnsiTheme="minorEastAsia" w:eastAsiaTheme="minorEastAsia" w:cstheme="minorEastAsia"/>
          <w:color w:val="auto"/>
          <w:kern w:val="0"/>
          <w:sz w:val="24"/>
          <w:szCs w:val="24"/>
          <w:highlight w:val="none"/>
        </w:rPr>
        <w:t>报价。报价采用低价优先法计算，以满足招标文件要求且报价最低的投标报价为评标基准价，</w:t>
      </w:r>
      <w:r>
        <w:rPr>
          <w:rFonts w:hint="eastAsia" w:asciiTheme="minorEastAsia" w:hAnsiTheme="minorEastAsia" w:cstheme="minorEastAsia"/>
          <w:color w:val="auto"/>
          <w:kern w:val="0"/>
          <w:sz w:val="24"/>
          <w:szCs w:val="24"/>
          <w:highlight w:val="none"/>
          <w:lang w:val="en-US" w:eastAsia="zh-CN"/>
        </w:rPr>
        <w:t>商务标</w:t>
      </w:r>
      <w:r>
        <w:rPr>
          <w:rFonts w:hint="eastAsia" w:asciiTheme="minorEastAsia" w:hAnsiTheme="minorEastAsia" w:eastAsiaTheme="minorEastAsia" w:cstheme="minorEastAsia"/>
          <w:color w:val="auto"/>
          <w:kern w:val="0"/>
          <w:sz w:val="24"/>
          <w:szCs w:val="24"/>
          <w:highlight w:val="none"/>
        </w:rPr>
        <w:t>投标报价得分=（评标基准价/投标报价）×100。</w:t>
      </w:r>
      <w:r>
        <w:rPr>
          <w:rFonts w:hint="eastAsia" w:ascii="宋体" w:hAnsi="宋体" w:cstheme="minorBidi"/>
          <w:color w:val="auto"/>
          <w:kern w:val="2"/>
          <w:sz w:val="24"/>
          <w:szCs w:val="24"/>
          <w:lang w:val="en-US" w:eastAsia="zh-CN" w:bidi="ar-SA"/>
        </w:rPr>
        <w:t>综合得分=技术标得分</w:t>
      </w:r>
      <w:r>
        <w:rPr>
          <w:rFonts w:hint="eastAsia" w:ascii="宋体" w:hAnsi="宋体" w:eastAsiaTheme="minorEastAsia" w:cstheme="minorBidi"/>
          <w:color w:val="auto"/>
          <w:kern w:val="2"/>
          <w:sz w:val="24"/>
          <w:szCs w:val="24"/>
          <w:lang w:val="en-US" w:eastAsia="zh-CN" w:bidi="ar-SA"/>
        </w:rPr>
        <w:t>×</w:t>
      </w:r>
      <w:r>
        <w:rPr>
          <w:rFonts w:hint="eastAsia" w:ascii="宋体" w:hAnsi="宋体" w:cstheme="minorBidi"/>
          <w:color w:val="auto"/>
          <w:kern w:val="2"/>
          <w:sz w:val="24"/>
          <w:szCs w:val="24"/>
          <w:lang w:val="en-US" w:eastAsia="zh-CN" w:bidi="ar-SA"/>
        </w:rPr>
        <w:t>40%+商务标得分</w:t>
      </w:r>
      <w:r>
        <w:rPr>
          <w:rFonts w:hint="eastAsia" w:ascii="宋体" w:hAnsi="宋体" w:eastAsiaTheme="minorEastAsia" w:cstheme="minorBidi"/>
          <w:color w:val="auto"/>
          <w:kern w:val="2"/>
          <w:sz w:val="24"/>
          <w:szCs w:val="24"/>
          <w:lang w:val="en-US" w:eastAsia="zh-CN" w:bidi="ar-SA"/>
        </w:rPr>
        <w:t>×</w:t>
      </w:r>
      <w:r>
        <w:rPr>
          <w:rFonts w:hint="eastAsia" w:ascii="宋体" w:hAnsi="宋体" w:cstheme="minorBidi"/>
          <w:color w:val="auto"/>
          <w:kern w:val="2"/>
          <w:sz w:val="24"/>
          <w:szCs w:val="24"/>
          <w:lang w:val="en-US" w:eastAsia="zh-CN" w:bidi="ar-SA"/>
        </w:rPr>
        <w:t>60%，</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评审小组专家</w:t>
      </w:r>
      <w:r>
        <w:rPr>
          <w:rFonts w:hint="eastAsia" w:asciiTheme="minorEastAsia" w:hAnsiTheme="minorEastAsia" w:eastAsiaTheme="minorEastAsia" w:cstheme="minorEastAsia"/>
          <w:color w:val="auto"/>
          <w:sz w:val="24"/>
          <w:szCs w:val="24"/>
          <w:highlight w:val="none"/>
          <w:lang w:val="en-US" w:eastAsia="zh-CN"/>
        </w:rPr>
        <w:t>评分计算后进行</w:t>
      </w:r>
      <w:r>
        <w:rPr>
          <w:rFonts w:hint="eastAsia" w:asciiTheme="minorEastAsia" w:hAnsiTheme="minorEastAsia" w:eastAsiaTheme="minorEastAsia" w:cstheme="minorEastAsia"/>
          <w:color w:val="auto"/>
          <w:sz w:val="24"/>
          <w:szCs w:val="24"/>
          <w:highlight w:val="none"/>
        </w:rPr>
        <w:t>综合排序，编写评标报告。按照招标文件的规定，按综合得分由高到低</w:t>
      </w:r>
      <w:r>
        <w:rPr>
          <w:rFonts w:hint="eastAsia" w:asciiTheme="minorEastAsia" w:hAnsiTheme="minorEastAsia" w:eastAsiaTheme="minorEastAsia" w:cstheme="minorEastAsia"/>
          <w:color w:val="auto"/>
          <w:sz w:val="24"/>
          <w:szCs w:val="24"/>
          <w:highlight w:val="none"/>
          <w:lang w:val="en-US" w:eastAsia="zh-CN"/>
        </w:rPr>
        <w:t>排名确定</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名</w:t>
      </w:r>
      <w:r>
        <w:rPr>
          <w:rFonts w:hint="eastAsia" w:asciiTheme="minorEastAsia" w:hAnsiTheme="minorEastAsia" w:eastAsiaTheme="minorEastAsia" w:cstheme="minorEastAsia"/>
          <w:color w:val="auto"/>
          <w:sz w:val="24"/>
          <w:szCs w:val="24"/>
          <w:highlight w:val="none"/>
        </w:rPr>
        <w:t>中标候选人。</w:t>
      </w:r>
    </w:p>
    <w:p>
      <w:pPr>
        <w:pStyle w:val="4"/>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en-US" w:eastAsia="zh-CN" w:bidi="ar-SA"/>
        </w:rPr>
        <w:t>、技术</w:t>
      </w:r>
      <w:r>
        <w:rPr>
          <w:rFonts w:hint="eastAsia" w:asciiTheme="minorEastAsia" w:hAnsiTheme="minorEastAsia" w:cstheme="minorEastAsia"/>
          <w:color w:val="auto"/>
          <w:kern w:val="2"/>
          <w:sz w:val="24"/>
          <w:szCs w:val="24"/>
          <w:highlight w:val="none"/>
          <w:lang w:val="en-US" w:eastAsia="zh-CN" w:bidi="ar-SA"/>
        </w:rPr>
        <w:t>标</w:t>
      </w:r>
      <w:r>
        <w:rPr>
          <w:rFonts w:hint="eastAsia" w:asciiTheme="minorEastAsia" w:hAnsiTheme="minorEastAsia" w:eastAsiaTheme="minorEastAsia" w:cstheme="minorEastAsia"/>
          <w:color w:val="auto"/>
          <w:kern w:val="2"/>
          <w:sz w:val="24"/>
          <w:szCs w:val="24"/>
          <w:highlight w:val="none"/>
          <w:lang w:val="en-US" w:eastAsia="zh-CN" w:bidi="ar-SA"/>
        </w:rPr>
        <w:t>评</w:t>
      </w:r>
      <w:r>
        <w:rPr>
          <w:rFonts w:hint="eastAsia" w:asciiTheme="minorEastAsia" w:hAnsiTheme="minorEastAsia" w:cstheme="minorEastAsia"/>
          <w:color w:val="auto"/>
          <w:kern w:val="2"/>
          <w:sz w:val="24"/>
          <w:szCs w:val="24"/>
          <w:highlight w:val="none"/>
          <w:lang w:val="en-US" w:eastAsia="zh-CN" w:bidi="ar-SA"/>
        </w:rPr>
        <w:t>分标准</w:t>
      </w:r>
      <w:r>
        <w:rPr>
          <w:rFonts w:hint="eastAsia" w:ascii="宋体" w:hAnsi="宋体" w:cstheme="minorBidi"/>
          <w:color w:val="auto"/>
          <w:sz w:val="24"/>
          <w:szCs w:val="24"/>
          <w:lang w:eastAsia="zh-CN"/>
        </w:rPr>
        <w:t>如下</w:t>
      </w:r>
      <w:r>
        <w:rPr>
          <w:rFonts w:hint="eastAsia" w:asciiTheme="minorEastAsia" w:hAnsiTheme="minorEastAsia" w:eastAsiaTheme="minorEastAsia" w:cstheme="minorEastAsia"/>
          <w:color w:val="auto"/>
          <w:kern w:val="2"/>
          <w:sz w:val="24"/>
          <w:szCs w:val="24"/>
          <w:highlight w:val="none"/>
          <w:lang w:val="en-US" w:eastAsia="zh-CN" w:bidi="ar-SA"/>
        </w:rPr>
        <w:t>：</w:t>
      </w:r>
    </w:p>
    <w:tbl>
      <w:tblPr>
        <w:tblStyle w:val="9"/>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391"/>
        <w:gridCol w:w="7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Align w:val="center"/>
          </w:tcPr>
          <w:p>
            <w:pPr>
              <w:widowControl/>
              <w:spacing w:line="300" w:lineRule="exact"/>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项目</w:t>
            </w:r>
          </w:p>
        </w:tc>
        <w:tc>
          <w:tcPr>
            <w:tcW w:w="751" w:type="pct"/>
            <w:shd w:val="clear" w:color="auto" w:fill="auto"/>
            <w:vAlign w:val="center"/>
          </w:tcPr>
          <w:p>
            <w:pPr>
              <w:widowControl/>
              <w:spacing w:line="300" w:lineRule="exact"/>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细则</w:t>
            </w:r>
          </w:p>
        </w:tc>
        <w:tc>
          <w:tcPr>
            <w:tcW w:w="3814" w:type="pct"/>
            <w:shd w:val="clear" w:color="auto" w:fill="auto"/>
            <w:vAlign w:val="center"/>
          </w:tcPr>
          <w:p>
            <w:pPr>
              <w:widowControl/>
              <w:spacing w:line="300" w:lineRule="exact"/>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433" w:type="pct"/>
            <w:vMerge w:val="restart"/>
            <w:vAlign w:val="center"/>
          </w:tcPr>
          <w:p>
            <w:pPr>
              <w:widowControl/>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技术标</w:t>
            </w:r>
          </w:p>
          <w:p>
            <w:pPr>
              <w:widowControl/>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（100分）</w:t>
            </w:r>
          </w:p>
        </w:tc>
        <w:tc>
          <w:tcPr>
            <w:tcW w:w="751" w:type="pct"/>
            <w:shd w:val="clear" w:color="auto" w:fill="auto"/>
            <w:vAlign w:val="center"/>
          </w:tcPr>
          <w:p>
            <w:pPr>
              <w:widowControl/>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公司</w:t>
            </w:r>
            <w:r>
              <w:rPr>
                <w:rFonts w:hint="eastAsia" w:ascii="宋体" w:hAnsi="宋体" w:eastAsia="宋体" w:cs="宋体"/>
                <w:sz w:val="21"/>
                <w:szCs w:val="21"/>
                <w:highlight w:val="none"/>
              </w:rPr>
              <w:t>实力</w:t>
            </w:r>
          </w:p>
          <w:p>
            <w:pPr>
              <w:widowControl/>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w:t>
            </w:r>
          </w:p>
        </w:tc>
        <w:tc>
          <w:tcPr>
            <w:tcW w:w="3814" w:type="pct"/>
            <w:shd w:val="clear" w:color="auto" w:fill="auto"/>
            <w:vAlign w:val="center"/>
          </w:tcPr>
          <w:p>
            <w:pPr>
              <w:widowControl/>
              <w:numPr>
                <w:ilvl w:val="0"/>
                <w:numId w:val="14"/>
              </w:numPr>
              <w:spacing w:line="300" w:lineRule="exac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lang w:val="en-US" w:eastAsia="zh-CN"/>
              </w:rPr>
              <w:t>具有数字化营销培训案例或行业</w:t>
            </w:r>
            <w:r>
              <w:rPr>
                <w:rFonts w:hint="eastAsia" w:ascii="宋体" w:hAnsi="宋体" w:eastAsia="宋体" w:cs="宋体"/>
                <w:sz w:val="21"/>
                <w:szCs w:val="21"/>
                <w:highlight w:val="none"/>
              </w:rPr>
              <w:t>相关</w:t>
            </w:r>
            <w:r>
              <w:rPr>
                <w:rFonts w:hint="eastAsia" w:ascii="宋体" w:hAnsi="宋体" w:eastAsia="宋体" w:cs="宋体"/>
                <w:sz w:val="21"/>
                <w:szCs w:val="21"/>
                <w:highlight w:val="none"/>
                <w:lang w:val="en-US" w:eastAsia="zh-CN"/>
              </w:rPr>
              <w:t>从业</w:t>
            </w:r>
            <w:r>
              <w:rPr>
                <w:rFonts w:hint="eastAsia" w:ascii="宋体" w:hAnsi="宋体" w:eastAsia="宋体" w:cs="宋体"/>
                <w:sz w:val="21"/>
                <w:szCs w:val="21"/>
                <w:highlight w:val="none"/>
              </w:rPr>
              <w:t>经验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提供类似项目服务业绩，以合同复印件为准，每提供一份得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pPr>
              <w:widowControl/>
              <w:numPr>
                <w:ilvl w:val="0"/>
                <w:numId w:val="14"/>
              </w:numPr>
              <w:spacing w:line="300" w:lineRule="exac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与汽车或卡车类主机厂品牌合作</w:t>
            </w:r>
            <w:r>
              <w:rPr>
                <w:rFonts w:hint="eastAsia" w:ascii="宋体" w:hAnsi="宋体" w:eastAsia="宋体" w:cs="宋体"/>
                <w:sz w:val="21"/>
                <w:szCs w:val="21"/>
                <w:highlight w:val="none"/>
              </w:rPr>
              <w:t>相关</w:t>
            </w:r>
            <w:r>
              <w:rPr>
                <w:rFonts w:hint="eastAsia" w:ascii="宋体" w:hAnsi="宋体" w:eastAsia="宋体" w:cs="宋体"/>
                <w:sz w:val="21"/>
                <w:szCs w:val="21"/>
                <w:highlight w:val="none"/>
                <w:lang w:val="en-US" w:eastAsia="zh-CN"/>
              </w:rPr>
              <w:t>培训</w:t>
            </w:r>
            <w:r>
              <w:rPr>
                <w:rFonts w:hint="eastAsia" w:ascii="宋体" w:hAnsi="宋体" w:eastAsia="宋体" w:cs="宋体"/>
                <w:sz w:val="21"/>
                <w:szCs w:val="21"/>
                <w:highlight w:val="none"/>
              </w:rPr>
              <w:t>案例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每</w:t>
            </w:r>
            <w:r>
              <w:rPr>
                <w:rFonts w:hint="eastAsia" w:ascii="宋体" w:hAnsi="宋体" w:eastAsia="宋体" w:cs="宋体"/>
                <w:sz w:val="21"/>
                <w:szCs w:val="21"/>
                <w:highlight w:val="none"/>
              </w:rPr>
              <w:t>合作一家得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pPr>
              <w:widowControl/>
              <w:numPr>
                <w:ilvl w:val="0"/>
                <w:numId w:val="14"/>
              </w:numPr>
              <w:spacing w:line="3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取得的相关荣誉、信用等级和认证证书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每获得1项行业内相关荣誉得2分，最高得5分。</w:t>
            </w:r>
          </w:p>
          <w:p>
            <w:pPr>
              <w:widowControl/>
              <w:numPr>
                <w:ilvl w:val="0"/>
                <w:numId w:val="14"/>
              </w:numPr>
              <w:spacing w:line="3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投标人成立时间三年以上，或注册资金500万以上，得2分，成立时间每增加1年或注册资金每增加100万，得分+1，最高得4分。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33" w:type="pct"/>
            <w:vMerge w:val="continue"/>
            <w:vAlign w:val="center"/>
          </w:tcPr>
          <w:p>
            <w:pPr>
              <w:widowControl/>
              <w:spacing w:line="300" w:lineRule="exact"/>
              <w:jc w:val="center"/>
              <w:rPr>
                <w:rFonts w:hint="eastAsia" w:ascii="宋体" w:hAnsi="宋体" w:eastAsia="宋体" w:cs="宋体"/>
                <w:sz w:val="21"/>
                <w:szCs w:val="21"/>
                <w:highlight w:val="none"/>
              </w:rPr>
            </w:pPr>
          </w:p>
        </w:tc>
        <w:tc>
          <w:tcPr>
            <w:tcW w:w="751" w:type="pct"/>
            <w:shd w:val="clear" w:color="auto" w:fill="auto"/>
            <w:vAlign w:val="center"/>
          </w:tcPr>
          <w:p>
            <w:pPr>
              <w:widowControl/>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团队实力</w:t>
            </w:r>
          </w:p>
          <w:p>
            <w:pPr>
              <w:widowControl/>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3814" w:type="pct"/>
            <w:shd w:val="clear" w:color="auto" w:fill="auto"/>
            <w:vAlign w:val="center"/>
          </w:tcPr>
          <w:p>
            <w:pPr>
              <w:widowControl/>
              <w:spacing w:line="3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专业人员具备条件：（1）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年以上行业经验的专家；（2）达到高级培训师资质；（3）参加过行业知名汽车品牌集中培训授课各不少于8课时（提供案例清单）。符合前述全部3个条件的团队成员，每有1个得2分，</w:t>
            </w:r>
            <w:r>
              <w:rPr>
                <w:rFonts w:hint="eastAsia" w:ascii="宋体" w:hAnsi="宋体" w:eastAsia="宋体" w:cs="宋体"/>
                <w:sz w:val="21"/>
                <w:szCs w:val="21"/>
                <w:highlight w:val="none"/>
                <w:lang w:val="en-US" w:eastAsia="zh-CN"/>
              </w:rPr>
              <w:t>最高得</w:t>
            </w:r>
            <w:r>
              <w:rPr>
                <w:rFonts w:hint="eastAsia" w:ascii="宋体" w:hAnsi="宋体" w:eastAsia="宋体" w:cs="宋体"/>
                <w:sz w:val="21"/>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433" w:type="pct"/>
            <w:vMerge w:val="continue"/>
            <w:vAlign w:val="center"/>
          </w:tcPr>
          <w:p>
            <w:pPr>
              <w:widowControl/>
              <w:spacing w:line="300" w:lineRule="exact"/>
              <w:jc w:val="center"/>
              <w:rPr>
                <w:rFonts w:hint="eastAsia" w:ascii="宋体" w:hAnsi="宋体" w:eastAsia="宋体" w:cs="宋体"/>
                <w:sz w:val="21"/>
                <w:szCs w:val="21"/>
                <w:highlight w:val="none"/>
              </w:rPr>
            </w:pPr>
          </w:p>
        </w:tc>
        <w:tc>
          <w:tcPr>
            <w:tcW w:w="751" w:type="pct"/>
            <w:shd w:val="clear" w:color="auto" w:fill="auto"/>
            <w:vAlign w:val="center"/>
          </w:tcPr>
          <w:p>
            <w:pPr>
              <w:widowControl/>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培训方案</w:t>
            </w:r>
          </w:p>
          <w:p>
            <w:pPr>
              <w:widowControl/>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 分）</w:t>
            </w:r>
          </w:p>
        </w:tc>
        <w:tc>
          <w:tcPr>
            <w:tcW w:w="3814" w:type="pct"/>
            <w:shd w:val="clear" w:color="auto" w:fill="auto"/>
            <w:vAlign w:val="center"/>
          </w:tcPr>
          <w:p>
            <w:pPr>
              <w:widowControl/>
              <w:spacing w:line="3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培训内容：培训内容贴合度、课程内容丰富度、课程体系设计逻，完全符合得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0分，符合得</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分，基本符合得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分，不符合得5分。</w:t>
            </w:r>
          </w:p>
          <w:p>
            <w:pPr>
              <w:widowControl/>
              <w:spacing w:line="3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培训运营：项目运营方案可行、科学，具有课堂氛围营造措施、可提高员工培训满意度，完全符合得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0分，符合得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分，基本符合得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分，不符合得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pPr>
              <w:widowControl/>
              <w:spacing w:line="3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（3）效果评估：</w:t>
            </w:r>
            <w:r>
              <w:rPr>
                <w:rFonts w:hint="eastAsia" w:ascii="宋体" w:hAnsi="宋体" w:eastAsia="宋体" w:cs="宋体"/>
                <w:sz w:val="21"/>
                <w:szCs w:val="21"/>
                <w:highlight w:val="none"/>
              </w:rPr>
              <w:t>培训结束后，具有的系统性、科学性、客观性和持续性的分析和评价，完全符合得10分，符合得8分，基本符合得5分，不符合得3分。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433" w:type="pct"/>
            <w:vMerge w:val="continue"/>
            <w:vAlign w:val="center"/>
          </w:tcPr>
          <w:p>
            <w:pPr>
              <w:widowControl/>
              <w:spacing w:line="300" w:lineRule="exact"/>
              <w:jc w:val="center"/>
              <w:rPr>
                <w:rFonts w:hint="eastAsia" w:ascii="宋体" w:hAnsi="宋体" w:eastAsia="宋体" w:cs="宋体"/>
                <w:sz w:val="21"/>
                <w:szCs w:val="21"/>
                <w:highlight w:val="none"/>
              </w:rPr>
            </w:pPr>
          </w:p>
        </w:tc>
        <w:tc>
          <w:tcPr>
            <w:tcW w:w="751" w:type="pct"/>
            <w:shd w:val="clear" w:color="auto" w:fill="auto"/>
            <w:vAlign w:val="center"/>
          </w:tcPr>
          <w:p>
            <w:pPr>
              <w:widowControl/>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en-US" w:eastAsia="zh-CN"/>
              </w:rPr>
              <w:t>程度</w:t>
            </w:r>
          </w:p>
          <w:p>
            <w:pPr>
              <w:widowControl/>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 xml:space="preserve"> 分）</w:t>
            </w:r>
          </w:p>
        </w:tc>
        <w:tc>
          <w:tcPr>
            <w:tcW w:w="3814" w:type="pct"/>
            <w:shd w:val="clear" w:color="auto" w:fill="auto"/>
            <w:vAlign w:val="center"/>
          </w:tcPr>
          <w:p>
            <w:pPr>
              <w:widowControl/>
              <w:spacing w:line="300" w:lineRule="exac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有丰富的课件开发经验、能开发符合项目要求的课件、能提供书面教材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能够根据招标人要求，提供快速的响应机制和人员保障能力</w:t>
            </w:r>
            <w:r>
              <w:rPr>
                <w:rFonts w:hint="eastAsia" w:ascii="宋体" w:hAnsi="宋体" w:eastAsia="宋体" w:cs="宋体"/>
                <w:sz w:val="21"/>
                <w:szCs w:val="21"/>
                <w:highlight w:val="none"/>
                <w:lang w:eastAsia="zh-CN"/>
              </w:rPr>
              <w:t>，</w:t>
            </w:r>
            <w:r>
              <w:rPr>
                <w:rFonts w:hint="eastAsia" w:ascii="宋体" w:hAnsi="宋体" w:eastAsia="宋体" w:cs="宋体"/>
                <w:color w:val="000000" w:themeColor="text1"/>
                <w:kern w:val="0"/>
                <w:szCs w:val="21"/>
                <w:lang w:bidi="ar"/>
                <w14:textFill>
                  <w14:solidFill>
                    <w14:schemeClr w14:val="tx1"/>
                  </w14:solidFill>
                </w14:textFill>
              </w:rPr>
              <w:t>提供完备的服务保障方案，团队人员</w:t>
            </w:r>
            <w:r>
              <w:rPr>
                <w:rFonts w:hint="eastAsia" w:ascii="宋体" w:hAnsi="宋体" w:cs="宋体"/>
                <w:color w:val="000000" w:themeColor="text1"/>
                <w:kern w:val="0"/>
                <w:szCs w:val="21"/>
                <w:lang w:val="en-US" w:eastAsia="zh-CN" w:bidi="ar"/>
                <w14:textFill>
                  <w14:solidFill>
                    <w14:schemeClr w14:val="tx1"/>
                  </w14:solidFill>
                </w14:textFill>
              </w:rPr>
              <w:t>稳定，</w:t>
            </w:r>
            <w:r>
              <w:rPr>
                <w:rFonts w:hint="eastAsia" w:ascii="宋体" w:hAnsi="宋体" w:eastAsia="宋体" w:cs="宋体"/>
                <w:color w:val="000000" w:themeColor="text1"/>
                <w:kern w:val="0"/>
                <w:szCs w:val="21"/>
                <w:lang w:bidi="ar"/>
                <w14:textFill>
                  <w14:solidFill>
                    <w14:schemeClr w14:val="tx1"/>
                  </w14:solidFill>
                </w14:textFill>
              </w:rPr>
              <w:t>具备相应的专业经验，责任分工明确且合理，能够响应项目需求</w:t>
            </w:r>
            <w:r>
              <w:rPr>
                <w:rFonts w:hint="eastAsia" w:ascii="宋体" w:hAnsi="宋体" w:cs="宋体"/>
                <w:color w:val="000000" w:themeColor="text1"/>
                <w:kern w:val="0"/>
                <w:szCs w:val="21"/>
                <w:lang w:eastAsia="zh-CN" w:bidi="ar"/>
                <w14:textFill>
                  <w14:solidFill>
                    <w14:schemeClr w14:val="tx1"/>
                  </w14:solidFill>
                </w14:textFill>
              </w:rPr>
              <w:t>。</w:t>
            </w:r>
            <w:r>
              <w:rPr>
                <w:rFonts w:hint="eastAsia" w:ascii="宋体" w:hAnsi="宋体" w:eastAsia="宋体" w:cs="宋体"/>
                <w:i w:val="0"/>
                <w:iCs w:val="0"/>
                <w:color w:val="000000"/>
                <w:kern w:val="0"/>
                <w:sz w:val="21"/>
                <w:szCs w:val="21"/>
                <w:u w:val="none"/>
                <w:lang w:val="en-US" w:eastAsia="zh-CN" w:bidi="ar"/>
              </w:rPr>
              <w:t>本项最高得15分</w:t>
            </w:r>
            <w:r>
              <w:rPr>
                <w:rFonts w:hint="eastAsia" w:hAnsi="宋体"/>
                <w:bCs/>
                <w:sz w:val="21"/>
                <w:szCs w:val="21"/>
                <w:highlight w:val="none"/>
              </w:rPr>
              <w:t>。</w:t>
            </w:r>
          </w:p>
        </w:tc>
      </w:tr>
    </w:tbl>
    <w:p>
      <w:pPr>
        <w:pStyle w:val="4"/>
        <w:spacing w:line="360" w:lineRule="auto"/>
        <w:rPr>
          <w:rFonts w:hint="eastAsia" w:ascii="宋体" w:hAnsi="宋体" w:eastAsiaTheme="minorEastAsia" w:cstheme="minorBidi"/>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kern w:val="0"/>
          <w:sz w:val="24"/>
          <w:szCs w:val="24"/>
          <w:highlight w:val="none"/>
          <w:lang w:val="en-US" w:eastAsia="zh-CN" w:bidi="ar"/>
        </w:rPr>
        <w:t>4</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rPr>
        <w:t>价格评议原则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投标报价错误的处理原则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投标文件的大写金额和小写金额不一致的，以大写金额为准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总价金额与按单价汇总金额不一致的，以单价金额计算结果为准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单价金额小数点有明显错位的，应以总价为准，并修改单价。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投标报价的缺项、单列项的处理原则: 对投标服务的关键、主要内容，投标人报价漏项的，作非实质性响应投标处理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对投标服务的非关键、非主要内容，投标人报价漏项的，评标时将要求漏项的投标人予以澄清，但该澄清不作为评标的依据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评标委员会将以其它投标人对应项的最高投标报价补充计入其评标价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对非关键、非主要内容的费用，如果投标人是另行单独报价的，评标时也相应另行计入其评标价</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评</w:t>
      </w:r>
      <w:r>
        <w:rPr>
          <w:rFonts w:hint="eastAsia" w:asciiTheme="minorEastAsia" w:hAnsiTheme="minorEastAsia" w:eastAsiaTheme="minorEastAsia" w:cstheme="minorEastAsia"/>
          <w:color w:val="auto"/>
          <w:sz w:val="24"/>
          <w:szCs w:val="24"/>
          <w:highlight w:val="none"/>
        </w:rPr>
        <w:t>标价的确定:按上述条款的原则校核修正后的价格为评标价。如果出现多种处理原则所产生的结果不一致的情况，以最高的修正价作为评标价</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numPr>
          <w:ilvl w:val="0"/>
          <w:numId w:val="0"/>
        </w:numPr>
        <w:suppressLineNumbers w:val="0"/>
        <w:kinsoku/>
        <w:wordWrap/>
        <w:overflowPunct/>
        <w:topLinePunct w:val="0"/>
        <w:bidi w:val="0"/>
        <w:snapToGrid/>
        <w:spacing w:line="440" w:lineRule="exact"/>
        <w:jc w:val="left"/>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三、</w:t>
      </w:r>
      <w:r>
        <w:rPr>
          <w:rFonts w:hint="eastAsia" w:ascii="黑体" w:hAnsi="黑体" w:eastAsia="黑体" w:cs="黑体"/>
          <w:b w:val="0"/>
          <w:bCs/>
          <w:color w:val="auto"/>
          <w:sz w:val="28"/>
          <w:szCs w:val="28"/>
          <w:highlight w:val="none"/>
        </w:rPr>
        <w:t>合同</w:t>
      </w:r>
      <w:r>
        <w:rPr>
          <w:rFonts w:hint="eastAsia" w:ascii="黑体" w:hAnsi="黑体" w:eastAsia="黑体" w:cs="黑体"/>
          <w:b w:val="0"/>
          <w:bCs/>
          <w:color w:val="auto"/>
          <w:sz w:val="28"/>
          <w:szCs w:val="28"/>
          <w:highlight w:val="none"/>
          <w:lang w:eastAsia="zh-CN"/>
        </w:rPr>
        <w:t>签订</w:t>
      </w:r>
    </w:p>
    <w:p>
      <w:pPr>
        <w:spacing w:line="360" w:lineRule="auto"/>
        <w:ind w:firstLine="480" w:firstLineChars="200"/>
        <w:jc w:val="left"/>
        <w:rPr>
          <w:rFonts w:hint="eastAsia" w:ascii="宋体" w:hAnsi="宋体" w:cstheme="minorBidi"/>
          <w:color w:val="auto"/>
          <w:sz w:val="24"/>
          <w:szCs w:val="24"/>
        </w:rPr>
      </w:pPr>
      <w:r>
        <w:rPr>
          <w:rFonts w:hint="eastAsia" w:ascii="宋体" w:hAnsi="宋体" w:cstheme="minorBidi"/>
          <w:color w:val="auto"/>
          <w:sz w:val="24"/>
          <w:szCs w:val="24"/>
        </w:rPr>
        <w:t>1</w:t>
      </w:r>
      <w:r>
        <w:rPr>
          <w:rFonts w:hint="eastAsia" w:ascii="宋体" w:hAnsi="宋体" w:cstheme="minorBidi"/>
          <w:color w:val="auto"/>
          <w:sz w:val="24"/>
          <w:szCs w:val="24"/>
          <w:lang w:eastAsia="zh-CN"/>
        </w:rPr>
        <w:t>、</w:t>
      </w:r>
      <w:r>
        <w:rPr>
          <w:rFonts w:hint="eastAsia" w:ascii="宋体" w:hAnsi="宋体" w:cstheme="minorBidi"/>
          <w:color w:val="auto"/>
          <w:sz w:val="24"/>
          <w:szCs w:val="24"/>
        </w:rPr>
        <w:t>招标人根据评标工作小组的评标结果按相关法律法规的规定及公司相关制度要求，确定中标人。中标人承诺无条件服从招标人针对该项目的后续所有安排。</w:t>
      </w:r>
    </w:p>
    <w:p>
      <w:pPr>
        <w:spacing w:line="360" w:lineRule="auto"/>
        <w:ind w:firstLine="480" w:firstLineChars="200"/>
        <w:jc w:val="left"/>
        <w:rPr>
          <w:rFonts w:hint="eastAsia" w:ascii="宋体" w:hAnsi="宋体" w:cstheme="minorBidi"/>
          <w:color w:val="auto"/>
          <w:sz w:val="24"/>
          <w:szCs w:val="24"/>
        </w:rPr>
      </w:pPr>
      <w:r>
        <w:rPr>
          <w:rFonts w:hint="eastAsia" w:ascii="宋体" w:hAnsi="宋体" w:cstheme="minorBidi"/>
          <w:color w:val="auto"/>
          <w:sz w:val="24"/>
          <w:szCs w:val="24"/>
        </w:rPr>
        <w:t>2</w:t>
      </w:r>
      <w:r>
        <w:rPr>
          <w:rFonts w:hint="eastAsia" w:ascii="宋体" w:hAnsi="宋体" w:cstheme="minorBidi"/>
          <w:color w:val="auto"/>
          <w:sz w:val="24"/>
          <w:szCs w:val="24"/>
          <w:lang w:eastAsia="zh-CN"/>
        </w:rPr>
        <w:t>、</w:t>
      </w:r>
      <w:r>
        <w:rPr>
          <w:rFonts w:hint="eastAsia" w:ascii="宋体" w:hAnsi="宋体" w:cstheme="minorBidi"/>
          <w:color w:val="auto"/>
          <w:sz w:val="24"/>
          <w:szCs w:val="24"/>
        </w:rPr>
        <w:t>招标人发送《中标通知书》给中标人，中标人应及时与招标人联系，在规定的时间内（一般为接到通知后3个工作日内）到招标单位对《中标人推荐表》进行签字确认并签订合同，如果中标人接到《中标通知书》后，无不正当理由拒签合同、在签订合同时向招标人提出无理附加条件的，取消该投标人的中标资格，该企业进入中国重汽集团《违约单位名录》,禁止其参加中国重汽集团系统内所有单位招标。</w:t>
      </w:r>
    </w:p>
    <w:p>
      <w:pPr>
        <w:spacing w:line="360" w:lineRule="auto"/>
        <w:ind w:firstLine="480" w:firstLineChars="200"/>
        <w:jc w:val="left"/>
        <w:rPr>
          <w:rFonts w:ascii="宋体" w:hAnsi="宋体" w:cstheme="minorBidi"/>
          <w:color w:val="auto"/>
          <w:sz w:val="24"/>
          <w:szCs w:val="24"/>
        </w:rPr>
      </w:pPr>
      <w:r>
        <w:rPr>
          <w:rFonts w:hint="eastAsia" w:ascii="宋体" w:hAnsi="宋体" w:cstheme="minorBidi"/>
          <w:color w:val="auto"/>
          <w:sz w:val="24"/>
          <w:szCs w:val="24"/>
          <w:lang w:val="en-US" w:eastAsia="zh-CN"/>
        </w:rPr>
        <w:t>3、</w:t>
      </w:r>
      <w:r>
        <w:rPr>
          <w:rFonts w:hint="eastAsia" w:ascii="宋体" w:hAnsi="宋体" w:cstheme="minorBidi"/>
          <w:color w:val="auto"/>
          <w:sz w:val="24"/>
          <w:szCs w:val="24"/>
        </w:rPr>
        <w:t>中标人应在保证质量的前提下完成中标项目，不得将中标项目转包或分包给他人，否则视为违约，招标人或相关单位有权解除合同。</w:t>
      </w:r>
    </w:p>
    <w:p>
      <w:pPr>
        <w:spacing w:line="360" w:lineRule="auto"/>
        <w:ind w:firstLine="480" w:firstLineChars="200"/>
        <w:jc w:val="left"/>
        <w:rPr>
          <w:rFonts w:hint="eastAsia" w:ascii="宋体" w:hAnsi="宋体" w:cstheme="minorBidi"/>
          <w:color w:val="auto"/>
          <w:sz w:val="24"/>
          <w:szCs w:val="24"/>
        </w:rPr>
      </w:pPr>
      <w:r>
        <w:rPr>
          <w:rFonts w:hint="eastAsia" w:ascii="宋体" w:hAnsi="宋体" w:cstheme="minorBidi"/>
          <w:color w:val="auto"/>
          <w:sz w:val="24"/>
          <w:szCs w:val="24"/>
          <w:lang w:val="en-US" w:eastAsia="zh-CN"/>
        </w:rPr>
        <w:t>4</w:t>
      </w:r>
      <w:r>
        <w:rPr>
          <w:rFonts w:hint="eastAsia" w:ascii="宋体" w:hAnsi="宋体" w:cstheme="minorBidi"/>
          <w:color w:val="auto"/>
          <w:sz w:val="24"/>
          <w:szCs w:val="24"/>
          <w:lang w:eastAsia="zh-CN"/>
        </w:rPr>
        <w:t>、</w:t>
      </w:r>
      <w:r>
        <w:rPr>
          <w:rFonts w:hint="eastAsia" w:ascii="宋体" w:hAnsi="宋体" w:cstheme="minorBidi"/>
          <w:color w:val="auto"/>
          <w:sz w:val="24"/>
          <w:szCs w:val="24"/>
        </w:rPr>
        <w:t>在履行合同过程中，中标人由于履行义务的能力或信用有严重缺陷，招标人有权解除合同并取消其中标资格，招标人将从剩余投标人中依序重新确定中标人，或重新组织招标。</w:t>
      </w:r>
    </w:p>
    <w:p>
      <w:pPr>
        <w:spacing w:line="360" w:lineRule="auto"/>
        <w:jc w:val="left"/>
        <w:rPr>
          <w:rFonts w:hint="eastAsia" w:ascii="黑体" w:hAnsi="黑体" w:eastAsia="黑体"/>
          <w:color w:val="auto"/>
          <w:sz w:val="28"/>
          <w:szCs w:val="24"/>
        </w:rPr>
      </w:pPr>
      <w:r>
        <w:rPr>
          <w:rFonts w:hint="eastAsia" w:ascii="黑体" w:hAnsi="黑体" w:eastAsia="黑体"/>
          <w:color w:val="auto"/>
          <w:sz w:val="28"/>
          <w:szCs w:val="24"/>
          <w:lang w:eastAsia="zh-CN"/>
        </w:rPr>
        <w:t>四</w:t>
      </w:r>
      <w:r>
        <w:rPr>
          <w:rFonts w:hint="eastAsia" w:ascii="黑体" w:hAnsi="黑体" w:eastAsia="黑体"/>
          <w:color w:val="auto"/>
          <w:sz w:val="28"/>
          <w:szCs w:val="24"/>
        </w:rPr>
        <w:t>、验收</w:t>
      </w:r>
    </w:p>
    <w:p>
      <w:pPr>
        <w:spacing w:line="360" w:lineRule="auto"/>
        <w:ind w:firstLine="480" w:firstLineChars="200"/>
        <w:jc w:val="left"/>
        <w:rPr>
          <w:rFonts w:ascii="宋体" w:hAnsi="宋体" w:cstheme="minorBidi"/>
          <w:color w:val="auto"/>
          <w:sz w:val="24"/>
          <w:szCs w:val="24"/>
        </w:rPr>
      </w:pPr>
      <w:r>
        <w:rPr>
          <w:rFonts w:hint="eastAsia" w:ascii="宋体" w:hAnsi="宋体" w:cstheme="minorBidi"/>
          <w:color w:val="auto"/>
          <w:sz w:val="24"/>
          <w:szCs w:val="24"/>
        </w:rPr>
        <w:t>中标人不得以任何非正当理由拒绝该项目执行，</w:t>
      </w:r>
      <w:r>
        <w:rPr>
          <w:rFonts w:hint="eastAsia" w:ascii="宋体" w:hAnsi="宋体" w:eastAsiaTheme="minorEastAsia" w:cstheme="minorBidi"/>
          <w:color w:val="auto"/>
          <w:kern w:val="2"/>
          <w:sz w:val="24"/>
          <w:szCs w:val="24"/>
          <w:lang w:val="en-US" w:eastAsia="zh-CN" w:bidi="ar-SA"/>
        </w:rPr>
        <w:t>不得随意更换项目负责人，若确需更换需征得招标人同意。</w:t>
      </w:r>
      <w:r>
        <w:rPr>
          <w:rFonts w:hint="eastAsia" w:ascii="宋体" w:hAnsi="宋体" w:cstheme="minorBidi"/>
          <w:color w:val="auto"/>
          <w:sz w:val="24"/>
          <w:szCs w:val="24"/>
        </w:rPr>
        <w:t>合同期内，乙方必须服从管理，如严重违规，给甲方造成重大损失的，甲方有权单方面无条件终止协议,合同约定以最终签署版本为准。</w:t>
      </w:r>
    </w:p>
    <w:p>
      <w:pPr>
        <w:jc w:val="center"/>
        <w:rPr>
          <w:rFonts w:hint="eastAsia" w:ascii="黑体" w:hAnsi="黑体" w:eastAsia="黑体"/>
          <w:color w:val="auto"/>
          <w:sz w:val="36"/>
          <w:szCs w:val="24"/>
        </w:rPr>
      </w:pPr>
    </w:p>
    <w:p>
      <w:pPr>
        <w:jc w:val="center"/>
        <w:rPr>
          <w:rFonts w:hint="eastAsia" w:ascii="黑体" w:hAnsi="黑体" w:eastAsia="黑体"/>
          <w:color w:val="auto"/>
          <w:sz w:val="36"/>
          <w:szCs w:val="24"/>
        </w:rPr>
      </w:pPr>
    </w:p>
    <w:p>
      <w:pPr>
        <w:jc w:val="center"/>
        <w:rPr>
          <w:rFonts w:ascii="黑体" w:hAnsi="黑体" w:eastAsia="黑体"/>
          <w:color w:val="auto"/>
          <w:sz w:val="36"/>
          <w:szCs w:val="24"/>
        </w:rPr>
      </w:pPr>
      <w:r>
        <w:rPr>
          <w:rFonts w:hint="eastAsia" w:ascii="黑体" w:hAnsi="黑体" w:eastAsia="黑体"/>
          <w:color w:val="auto"/>
          <w:sz w:val="36"/>
          <w:szCs w:val="24"/>
        </w:rPr>
        <w:t>第三章</w:t>
      </w:r>
      <w:r>
        <w:rPr>
          <w:rFonts w:hint="eastAsia" w:ascii="黑体" w:hAnsi="黑体" w:eastAsia="黑体"/>
          <w:color w:val="auto"/>
          <w:sz w:val="36"/>
          <w:szCs w:val="24"/>
          <w:lang w:val="en-US" w:eastAsia="zh-CN"/>
        </w:rPr>
        <w:t xml:space="preserve"> </w:t>
      </w:r>
      <w:r>
        <w:rPr>
          <w:rFonts w:hint="eastAsia" w:ascii="黑体" w:hAnsi="黑体" w:eastAsia="黑体"/>
          <w:color w:val="auto"/>
          <w:sz w:val="36"/>
          <w:szCs w:val="24"/>
        </w:rPr>
        <w:t>投标文件编制</w:t>
      </w:r>
    </w:p>
    <w:p>
      <w:pPr>
        <w:rPr>
          <w:color w:val="auto"/>
        </w:rPr>
      </w:pPr>
    </w:p>
    <w:p>
      <w:pPr>
        <w:spacing w:line="360" w:lineRule="auto"/>
        <w:jc w:val="left"/>
        <w:rPr>
          <w:rFonts w:ascii="黑体" w:hAnsi="黑体" w:eastAsia="黑体"/>
          <w:color w:val="auto"/>
          <w:sz w:val="28"/>
          <w:szCs w:val="24"/>
        </w:rPr>
      </w:pPr>
      <w:r>
        <w:rPr>
          <w:rFonts w:hint="eastAsia" w:ascii="黑体" w:hAnsi="黑体" w:eastAsia="黑体"/>
          <w:color w:val="auto"/>
          <w:sz w:val="28"/>
          <w:szCs w:val="24"/>
        </w:rPr>
        <w:t>一、投标文件签署</w:t>
      </w:r>
    </w:p>
    <w:p>
      <w:pPr>
        <w:spacing w:line="360" w:lineRule="auto"/>
        <w:ind w:firstLine="480" w:firstLineChars="200"/>
        <w:jc w:val="left"/>
        <w:rPr>
          <w:rFonts w:ascii="宋体" w:hAnsi="宋体" w:cstheme="minorBidi"/>
          <w:color w:val="auto"/>
          <w:sz w:val="24"/>
          <w:szCs w:val="24"/>
        </w:rPr>
      </w:pPr>
      <w:r>
        <w:rPr>
          <w:rFonts w:hint="eastAsia" w:ascii="宋体" w:hAnsi="宋体" w:cstheme="minorBidi"/>
          <w:color w:val="auto"/>
          <w:sz w:val="24"/>
          <w:szCs w:val="24"/>
        </w:rPr>
        <w:t>法定代表人或投标人授权代表必须按招标文件的规定在投标文件（正本、副本及各附件）、报价单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pPr>
        <w:spacing w:line="360" w:lineRule="auto"/>
        <w:jc w:val="left"/>
        <w:rPr>
          <w:rFonts w:ascii="黑体" w:hAnsi="黑体" w:eastAsia="黑体"/>
          <w:color w:val="auto"/>
          <w:sz w:val="28"/>
          <w:szCs w:val="24"/>
        </w:rPr>
      </w:pPr>
      <w:r>
        <w:rPr>
          <w:rFonts w:hint="eastAsia" w:ascii="黑体" w:hAnsi="黑体" w:eastAsia="黑体"/>
          <w:color w:val="auto"/>
          <w:sz w:val="28"/>
          <w:szCs w:val="24"/>
        </w:rPr>
        <w:t>二、投标文件的密封和标记</w:t>
      </w:r>
    </w:p>
    <w:p>
      <w:pPr>
        <w:spacing w:line="360" w:lineRule="auto"/>
        <w:ind w:firstLine="480" w:firstLineChars="200"/>
        <w:jc w:val="left"/>
        <w:rPr>
          <w:rFonts w:hint="eastAsia" w:ascii="宋体" w:hAnsi="宋体" w:cstheme="minorBidi"/>
          <w:color w:val="auto"/>
          <w:sz w:val="24"/>
          <w:szCs w:val="24"/>
          <w:lang w:eastAsia="zh-CN"/>
        </w:rPr>
      </w:pPr>
      <w:r>
        <w:rPr>
          <w:rFonts w:hint="eastAsia" w:ascii="宋体" w:hAnsi="宋体" w:cstheme="minorBidi"/>
          <w:color w:val="auto"/>
          <w:sz w:val="24"/>
          <w:szCs w:val="24"/>
        </w:rPr>
        <w:t>1</w:t>
      </w:r>
      <w:r>
        <w:rPr>
          <w:rFonts w:hint="eastAsia" w:ascii="宋体" w:hAnsi="宋体" w:cstheme="minorBidi"/>
          <w:color w:val="auto"/>
          <w:sz w:val="24"/>
          <w:szCs w:val="24"/>
          <w:lang w:eastAsia="zh-CN"/>
        </w:rPr>
        <w:t>、</w:t>
      </w:r>
      <w:r>
        <w:rPr>
          <w:rFonts w:hint="eastAsia" w:ascii="宋体" w:hAnsi="宋体" w:cstheme="minorBidi"/>
          <w:color w:val="auto"/>
          <w:sz w:val="24"/>
          <w:szCs w:val="24"/>
        </w:rPr>
        <w:t>投标文件分三个密封包，即《投标文件（资质文件）》、《投标文件（技术标）》、《投标文件（商务标）》</w:t>
      </w:r>
      <w:r>
        <w:rPr>
          <w:rFonts w:hint="eastAsia" w:ascii="宋体" w:hAnsi="宋体" w:cstheme="minorBidi"/>
          <w:color w:val="auto"/>
          <w:sz w:val="24"/>
          <w:szCs w:val="24"/>
          <w:lang w:eastAsia="zh-CN"/>
        </w:rPr>
        <w:t>。</w:t>
      </w:r>
    </w:p>
    <w:p>
      <w:pPr>
        <w:spacing w:line="360" w:lineRule="auto"/>
        <w:ind w:firstLine="480" w:firstLineChars="200"/>
        <w:jc w:val="left"/>
        <w:rPr>
          <w:rFonts w:hint="eastAsia" w:ascii="宋体" w:hAnsi="宋体" w:eastAsia="宋体" w:cstheme="minorBidi"/>
          <w:color w:val="auto"/>
          <w:kern w:val="2"/>
          <w:sz w:val="24"/>
          <w:szCs w:val="24"/>
          <w:lang w:val="en-US" w:eastAsia="zh-CN" w:bidi="ar-SA"/>
        </w:rPr>
      </w:pPr>
      <w:r>
        <w:rPr>
          <w:rFonts w:hint="eastAsia" w:ascii="宋体" w:hAnsi="宋体" w:cstheme="minorBidi"/>
          <w:color w:val="auto"/>
          <w:sz w:val="24"/>
          <w:szCs w:val="24"/>
          <w:lang w:val="en-US" w:eastAsia="zh-CN"/>
        </w:rPr>
        <w:t>2、</w:t>
      </w:r>
      <w:r>
        <w:rPr>
          <w:rFonts w:hint="eastAsia" w:ascii="宋体" w:hAnsi="宋体" w:cstheme="minorBidi"/>
          <w:color w:val="auto"/>
          <w:sz w:val="24"/>
          <w:szCs w:val="24"/>
        </w:rPr>
        <w:t>投标文件（资质文件）</w:t>
      </w:r>
      <w:r>
        <w:rPr>
          <w:rFonts w:hint="eastAsia" w:ascii="宋体" w:hAnsi="宋体" w:eastAsia="宋体" w:cstheme="minorBidi"/>
          <w:color w:val="auto"/>
          <w:kern w:val="2"/>
          <w:sz w:val="24"/>
          <w:szCs w:val="24"/>
          <w:lang w:val="en-US" w:eastAsia="zh-CN" w:bidi="ar-SA"/>
        </w:rPr>
        <w:t>：单独封装1份并加盖鲜章，在投标人投标的同时将“资质证明文件”交监督员审查、备案，接受投标报名不代表资格审查通过。</w:t>
      </w:r>
    </w:p>
    <w:p>
      <w:pPr>
        <w:spacing w:line="360" w:lineRule="auto"/>
        <w:ind w:firstLine="480" w:firstLineChars="200"/>
        <w:jc w:val="left"/>
        <w:rPr>
          <w:rFonts w:hint="eastAsia" w:ascii="宋体" w:hAnsi="宋体" w:eastAsia="宋体" w:cstheme="minorBidi"/>
          <w:color w:val="auto"/>
          <w:kern w:val="2"/>
          <w:sz w:val="24"/>
          <w:szCs w:val="24"/>
          <w:lang w:val="en-US" w:eastAsia="zh-CN" w:bidi="ar-SA"/>
        </w:rPr>
      </w:pPr>
      <w:r>
        <w:rPr>
          <w:rFonts w:hint="eastAsia" w:ascii="宋体" w:hAnsi="宋体" w:cstheme="minorBidi"/>
          <w:color w:val="auto"/>
          <w:kern w:val="2"/>
          <w:sz w:val="24"/>
          <w:szCs w:val="24"/>
          <w:lang w:val="en-US" w:eastAsia="zh-CN" w:bidi="ar-SA"/>
        </w:rPr>
        <w:t>3、</w:t>
      </w:r>
      <w:r>
        <w:rPr>
          <w:rFonts w:hint="eastAsia" w:ascii="宋体" w:hAnsi="宋体" w:cstheme="minorBidi"/>
          <w:color w:val="auto"/>
          <w:sz w:val="24"/>
          <w:szCs w:val="24"/>
        </w:rPr>
        <w:t>投标文件（技术标）</w:t>
      </w:r>
      <w:r>
        <w:rPr>
          <w:rFonts w:hint="eastAsia" w:ascii="宋体" w:hAnsi="宋体" w:eastAsia="宋体" w:cstheme="minorBidi"/>
          <w:color w:val="auto"/>
          <w:kern w:val="2"/>
          <w:sz w:val="24"/>
          <w:szCs w:val="24"/>
          <w:lang w:val="en-US" w:eastAsia="zh-CN" w:bidi="ar-SA"/>
        </w:rPr>
        <w:t>：</w:t>
      </w:r>
      <w:r>
        <w:rPr>
          <w:rFonts w:hint="eastAsia" w:ascii="宋体" w:hAnsi="宋体" w:cstheme="minorBidi"/>
          <w:color w:val="auto"/>
          <w:kern w:val="2"/>
          <w:sz w:val="24"/>
          <w:szCs w:val="24"/>
          <w:lang w:val="en-US" w:eastAsia="zh-CN" w:bidi="ar-SA"/>
        </w:rPr>
        <w:t>3</w:t>
      </w:r>
      <w:r>
        <w:rPr>
          <w:rFonts w:hint="eastAsia" w:ascii="宋体" w:hAnsi="宋体" w:eastAsia="宋体" w:cstheme="minorBidi"/>
          <w:color w:val="auto"/>
          <w:kern w:val="2"/>
          <w:sz w:val="24"/>
          <w:szCs w:val="24"/>
          <w:lang w:val="en-US" w:eastAsia="zh-CN" w:bidi="ar-SA"/>
        </w:rPr>
        <w:t>份，纸质版正本1份、副本</w:t>
      </w:r>
      <w:r>
        <w:rPr>
          <w:rFonts w:hint="eastAsia" w:ascii="宋体" w:hAnsi="宋体" w:cstheme="minorBidi"/>
          <w:color w:val="auto"/>
          <w:kern w:val="2"/>
          <w:sz w:val="24"/>
          <w:szCs w:val="24"/>
          <w:lang w:val="en-US" w:eastAsia="zh-CN" w:bidi="ar-SA"/>
        </w:rPr>
        <w:t>2</w:t>
      </w:r>
      <w:r>
        <w:rPr>
          <w:rFonts w:hint="eastAsia" w:ascii="宋体" w:hAnsi="宋体" w:eastAsia="宋体" w:cstheme="minorBidi"/>
          <w:color w:val="auto"/>
          <w:kern w:val="2"/>
          <w:sz w:val="24"/>
          <w:szCs w:val="24"/>
          <w:lang w:val="en-US" w:eastAsia="zh-CN" w:bidi="ar-SA"/>
        </w:rPr>
        <w:t>份，若正本和副本有差异，以正本为准。</w:t>
      </w:r>
    </w:p>
    <w:p>
      <w:pPr>
        <w:spacing w:line="360" w:lineRule="auto"/>
        <w:ind w:firstLine="480" w:firstLineChars="200"/>
        <w:jc w:val="left"/>
        <w:rPr>
          <w:rFonts w:hint="eastAsia"/>
          <w:color w:val="auto"/>
          <w:lang w:val="en-US" w:eastAsia="zh-CN"/>
        </w:rPr>
      </w:pPr>
      <w:r>
        <w:rPr>
          <w:rFonts w:hint="eastAsia" w:ascii="宋体" w:hAnsi="宋体" w:cstheme="minorBidi"/>
          <w:color w:val="auto"/>
          <w:kern w:val="2"/>
          <w:sz w:val="24"/>
          <w:szCs w:val="24"/>
          <w:lang w:val="en-US" w:eastAsia="zh-CN" w:bidi="ar-SA"/>
        </w:rPr>
        <w:t>4、</w:t>
      </w:r>
      <w:r>
        <w:rPr>
          <w:rFonts w:hint="eastAsia" w:ascii="宋体" w:hAnsi="宋体" w:cstheme="minorBidi"/>
          <w:color w:val="auto"/>
          <w:sz w:val="24"/>
          <w:szCs w:val="24"/>
        </w:rPr>
        <w:t>投标文件（商务标）</w:t>
      </w:r>
      <w:r>
        <w:rPr>
          <w:rFonts w:hint="eastAsia" w:ascii="宋体" w:hAnsi="宋体" w:eastAsia="宋体" w:cstheme="minorBidi"/>
          <w:color w:val="auto"/>
          <w:kern w:val="2"/>
          <w:sz w:val="24"/>
          <w:szCs w:val="24"/>
          <w:lang w:val="en-US" w:eastAsia="zh-CN" w:bidi="ar-SA"/>
        </w:rPr>
        <w:t>:单独封装1份并加盖鲜章。</w:t>
      </w:r>
    </w:p>
    <w:p>
      <w:pPr>
        <w:pStyle w:val="4"/>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hAnsi="宋体" w:cstheme="minorBidi"/>
          <w:color w:val="auto"/>
          <w:kern w:val="2"/>
          <w:sz w:val="24"/>
          <w:szCs w:val="24"/>
          <w:lang w:val="en-US" w:eastAsia="zh-CN" w:bidi="ar-SA"/>
        </w:rPr>
        <w:t>5、</w:t>
      </w:r>
      <w:r>
        <w:rPr>
          <w:rFonts w:hint="eastAsia" w:asciiTheme="minorEastAsia" w:hAnsiTheme="minorEastAsia" w:eastAsiaTheme="minorEastAsia" w:cstheme="minorEastAsia"/>
          <w:color w:val="auto"/>
          <w:kern w:val="2"/>
          <w:sz w:val="24"/>
          <w:szCs w:val="24"/>
          <w:highlight w:val="none"/>
          <w:lang w:val="en-US" w:eastAsia="zh-CN" w:bidi="ar-SA"/>
        </w:rPr>
        <w:t>电子版文件：</w:t>
      </w:r>
      <w:r>
        <w:rPr>
          <w:rFonts w:hint="eastAsia" w:asciiTheme="minorEastAsia" w:hAnsiTheme="minorEastAsia" w:cstheme="minorEastAsia"/>
          <w:color w:val="auto"/>
          <w:kern w:val="2"/>
          <w:sz w:val="24"/>
          <w:szCs w:val="24"/>
          <w:highlight w:val="none"/>
          <w:lang w:val="en-US" w:eastAsia="zh-CN" w:bidi="ar-SA"/>
        </w:rPr>
        <w:t>U盘</w:t>
      </w:r>
      <w:r>
        <w:rPr>
          <w:rFonts w:hint="eastAsia" w:asciiTheme="minorEastAsia" w:hAnsiTheme="minorEastAsia" w:eastAsiaTheme="minorEastAsia" w:cstheme="minorEastAsia"/>
          <w:color w:val="auto"/>
          <w:kern w:val="2"/>
          <w:sz w:val="24"/>
          <w:szCs w:val="24"/>
          <w:highlight w:val="none"/>
          <w:lang w:val="en-US" w:eastAsia="zh-CN" w:bidi="ar-SA"/>
        </w:rPr>
        <w:t>1份，应包含资质文件、</w:t>
      </w:r>
      <w:r>
        <w:rPr>
          <w:rFonts w:hint="eastAsia" w:asciiTheme="minorEastAsia" w:hAnsiTheme="minorEastAsia" w:cstheme="minorEastAsia"/>
          <w:color w:val="auto"/>
          <w:kern w:val="2"/>
          <w:sz w:val="24"/>
          <w:szCs w:val="24"/>
          <w:highlight w:val="none"/>
          <w:lang w:val="en-US" w:eastAsia="zh-CN" w:bidi="ar-SA"/>
        </w:rPr>
        <w:t>技术标文件、商务标文件</w:t>
      </w:r>
      <w:r>
        <w:rPr>
          <w:rFonts w:hint="eastAsia" w:asciiTheme="minorEastAsia" w:hAnsiTheme="minorEastAsia" w:eastAsiaTheme="minorEastAsia" w:cstheme="minorEastAsia"/>
          <w:color w:val="auto"/>
          <w:kern w:val="2"/>
          <w:sz w:val="24"/>
          <w:szCs w:val="24"/>
          <w:highlight w:val="none"/>
          <w:lang w:val="en-US" w:eastAsia="zh-CN" w:bidi="ar-SA"/>
        </w:rPr>
        <w:t>，U盘需上交存档，不返还。</w:t>
      </w:r>
    </w:p>
    <w:p>
      <w:pPr>
        <w:pStyle w:val="4"/>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heme="minorBidi"/>
          <w:color w:val="auto"/>
          <w:kern w:val="2"/>
          <w:sz w:val="24"/>
          <w:szCs w:val="24"/>
          <w:lang w:val="en-US" w:eastAsia="zh-CN" w:bidi="ar-SA"/>
        </w:rPr>
      </w:pPr>
      <w:r>
        <w:rPr>
          <w:rFonts w:hint="eastAsia" w:asciiTheme="minorEastAsia" w:hAnsiTheme="minorEastAsia" w:cstheme="minorEastAsia"/>
          <w:color w:val="auto"/>
          <w:kern w:val="2"/>
          <w:sz w:val="24"/>
          <w:szCs w:val="24"/>
          <w:highlight w:val="none"/>
          <w:lang w:val="en-US" w:eastAsia="zh-CN" w:bidi="ar-SA"/>
        </w:rPr>
        <w:t>6、</w:t>
      </w:r>
      <w:r>
        <w:rPr>
          <w:rFonts w:hint="eastAsia" w:ascii="宋体" w:hAnsi="宋体" w:eastAsia="宋体" w:cstheme="minorBidi"/>
          <w:color w:val="auto"/>
          <w:kern w:val="2"/>
          <w:sz w:val="24"/>
          <w:szCs w:val="24"/>
          <w:lang w:val="en-US" w:eastAsia="zh-CN" w:bidi="ar-SA"/>
        </w:rPr>
        <w:t>资质文件、</w:t>
      </w:r>
      <w:r>
        <w:rPr>
          <w:rFonts w:hint="eastAsia" w:hAnsi="宋体" w:eastAsia="宋体" w:cstheme="minorBidi"/>
          <w:color w:val="auto"/>
          <w:kern w:val="2"/>
          <w:sz w:val="24"/>
          <w:szCs w:val="24"/>
          <w:lang w:val="en-US" w:eastAsia="zh-CN" w:bidi="ar-SA"/>
        </w:rPr>
        <w:t>技术标文件、商务标文件</w:t>
      </w:r>
      <w:r>
        <w:rPr>
          <w:rFonts w:hint="eastAsia" w:ascii="宋体" w:hAnsi="宋体" w:eastAsia="宋体" w:cstheme="minorBidi"/>
          <w:color w:val="auto"/>
          <w:kern w:val="2"/>
          <w:sz w:val="24"/>
          <w:szCs w:val="24"/>
          <w:lang w:val="en-US" w:eastAsia="zh-CN" w:bidi="ar-SA"/>
        </w:rPr>
        <w:t>均需分别密封，密封封面注明：文件名称、项目编号、项目名称、投标人名称（加盖公章）、地址、联系人、电话、邮编、传真。每一密封文件在封口处加盖投标人公章并注明“于202*年**月**日上午**时之前不准启封”字样。</w:t>
      </w:r>
    </w:p>
    <w:p>
      <w:pPr>
        <w:spacing w:line="360" w:lineRule="auto"/>
        <w:jc w:val="left"/>
        <w:rPr>
          <w:rFonts w:ascii="黑体" w:hAnsi="黑体" w:eastAsia="黑体"/>
          <w:color w:val="auto"/>
          <w:sz w:val="28"/>
          <w:szCs w:val="24"/>
        </w:rPr>
      </w:pPr>
      <w:r>
        <w:rPr>
          <w:rFonts w:hint="eastAsia" w:ascii="黑体" w:hAnsi="黑体" w:eastAsia="黑体"/>
          <w:color w:val="auto"/>
          <w:sz w:val="28"/>
          <w:szCs w:val="24"/>
        </w:rPr>
        <w:t>三、开标时需提交的材料</w:t>
      </w:r>
    </w:p>
    <w:p>
      <w:pPr>
        <w:spacing w:line="360" w:lineRule="auto"/>
        <w:ind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1</w:t>
      </w:r>
      <w:r>
        <w:rPr>
          <w:rFonts w:hint="eastAsia" w:ascii="宋体" w:hAnsi="宋体" w:cstheme="minorBidi"/>
          <w:color w:val="auto"/>
          <w:sz w:val="24"/>
          <w:szCs w:val="24"/>
          <w:lang w:eastAsia="zh-CN"/>
        </w:rPr>
        <w:t>、</w:t>
      </w:r>
      <w:r>
        <w:rPr>
          <w:rFonts w:hint="eastAsia" w:ascii="宋体" w:hAnsi="宋体" w:cstheme="minorBidi"/>
          <w:color w:val="auto"/>
          <w:sz w:val="24"/>
          <w:szCs w:val="24"/>
          <w:lang w:val="en-US" w:eastAsia="zh-CN"/>
        </w:rPr>
        <w:t>资质文件：（纸质版）</w:t>
      </w:r>
    </w:p>
    <w:p>
      <w:pPr>
        <w:spacing w:line="360" w:lineRule="auto"/>
        <w:ind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① 提供原件备查：三证合一营业执照副本；法人代表授权书；身份证；</w:t>
      </w:r>
    </w:p>
    <w:p>
      <w:pPr>
        <w:spacing w:line="360" w:lineRule="auto"/>
        <w:ind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② 提供复印件，并在复印件上盖鲜章：三证合一营业执照副本；法人代表授权书；法人及被授权人身份证（正反面）；在以往的招投标活动中无违法、违规、违纪、违约行为的说明。</w:t>
      </w:r>
    </w:p>
    <w:p>
      <w:pPr>
        <w:spacing w:line="360" w:lineRule="auto"/>
        <w:ind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2、技术标文件：（纸质版）</w:t>
      </w:r>
    </w:p>
    <w:p>
      <w:pPr>
        <w:numPr>
          <w:ilvl w:val="0"/>
          <w:numId w:val="15"/>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投标函（附件一）；</w:t>
      </w:r>
    </w:p>
    <w:p>
      <w:pPr>
        <w:numPr>
          <w:ilvl w:val="0"/>
          <w:numId w:val="15"/>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法定代表人授权委托书（附件二，参与投标人不是法定代表人的，应出具由法定代表人签署并加盖公章的授权书）；</w:t>
      </w:r>
    </w:p>
    <w:p>
      <w:pPr>
        <w:numPr>
          <w:ilvl w:val="0"/>
          <w:numId w:val="15"/>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企业情况一览表（附件三），后附投标单位正式在职人员证明及工作经历、缴纳社保证明等；</w:t>
      </w:r>
    </w:p>
    <w:p>
      <w:pPr>
        <w:numPr>
          <w:ilvl w:val="0"/>
          <w:numId w:val="15"/>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企业业绩一览表（附件四），投标人在近年内为汽车品牌企业提供相关服务的业绩证明材料；</w:t>
      </w:r>
    </w:p>
    <w:p>
      <w:pPr>
        <w:numPr>
          <w:ilvl w:val="0"/>
          <w:numId w:val="15"/>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投标企业近年内重点合作项目的优秀活动案例；</w:t>
      </w:r>
    </w:p>
    <w:p>
      <w:pPr>
        <w:numPr>
          <w:ilvl w:val="0"/>
          <w:numId w:val="15"/>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响应承诺书：包含服务承诺、响应承诺、售后及质保期承诺、交付期承诺等四项内容，均需说明，格式自拟，加盖公章。</w:t>
      </w:r>
    </w:p>
    <w:p>
      <w:pPr>
        <w:numPr>
          <w:ilvl w:val="0"/>
          <w:numId w:val="15"/>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投标人近三年的公司财务报表复印件加盖公章；</w:t>
      </w:r>
    </w:p>
    <w:p>
      <w:pPr>
        <w:numPr>
          <w:ilvl w:val="0"/>
          <w:numId w:val="15"/>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具有统一社会信用代码的三证合一的营业执照副本原件及复印件加盖公章；</w:t>
      </w:r>
    </w:p>
    <w:p>
      <w:pPr>
        <w:numPr>
          <w:ilvl w:val="0"/>
          <w:numId w:val="15"/>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信用证明：包含银行资信证明、信用中国/信用山东无违反合同约定或违反法律法规等的失信行为的证明原件及复印件加盖公章、信用证明材料（征信报告）、企业对外担保说明（写明贵单位对外有无对外担保和质押业务，需加盖公章）；</w:t>
      </w:r>
    </w:p>
    <w:p>
      <w:pPr>
        <w:numPr>
          <w:ilvl w:val="0"/>
          <w:numId w:val="15"/>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企业最近半年完税证明、年度纳税信用评价信息（可从电子税务局查询截图，需加盖公章）；</w:t>
      </w:r>
    </w:p>
    <w:p>
      <w:pPr>
        <w:numPr>
          <w:ilvl w:val="0"/>
          <w:numId w:val="15"/>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投标人技术说明材料（格式自拟）：包含投标人基本情况及实力介绍；投标人针对本项目所提供的服务范围、安全保证措施、组织措施（包括为本项目配备的组织机构、人员结构、人员数量）、现场管理措施、后勤保障措施等；</w:t>
      </w:r>
    </w:p>
    <w:p>
      <w:pPr>
        <w:numPr>
          <w:ilvl w:val="0"/>
          <w:numId w:val="15"/>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保证金缴纳凭证；</w:t>
      </w:r>
    </w:p>
    <w:p>
      <w:pPr>
        <w:numPr>
          <w:ilvl w:val="0"/>
          <w:numId w:val="15"/>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评分表中提到的相关证明材料以及投标人认为有必要提交的其它文件。</w:t>
      </w:r>
    </w:p>
    <w:p>
      <w:pPr>
        <w:numPr>
          <w:ilvl w:val="0"/>
          <w:numId w:val="10"/>
        </w:numPr>
        <w:spacing w:line="360" w:lineRule="auto"/>
        <w:ind w:left="420" w:leftChars="0" w:firstLine="0" w:firstLineChars="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商务标文件：（纸质版）</w:t>
      </w:r>
    </w:p>
    <w:p>
      <w:pPr>
        <w:numPr>
          <w:ilvl w:val="0"/>
          <w:numId w:val="0"/>
        </w:numPr>
        <w:spacing w:line="360" w:lineRule="auto"/>
        <w:ind w:firstLine="480" w:firstLineChars="200"/>
        <w:jc w:val="left"/>
        <w:rPr>
          <w:rFonts w:ascii="宋体" w:hAnsi="宋体" w:cstheme="minorBidi"/>
          <w:color w:val="auto"/>
          <w:sz w:val="24"/>
          <w:szCs w:val="24"/>
        </w:rPr>
      </w:pPr>
      <w:r>
        <w:rPr>
          <w:rFonts w:hint="eastAsia" w:ascii="宋体" w:hAnsi="宋体" w:cstheme="minorBidi"/>
          <w:color w:val="auto"/>
          <w:sz w:val="24"/>
          <w:szCs w:val="24"/>
        </w:rPr>
        <w:t>《</w:t>
      </w:r>
      <w:r>
        <w:rPr>
          <w:rFonts w:hint="eastAsia" w:ascii="宋体" w:hAnsi="宋体" w:cstheme="minorBidi"/>
          <w:color w:val="auto"/>
          <w:sz w:val="24"/>
          <w:szCs w:val="24"/>
          <w:lang w:val="en-US" w:eastAsia="zh-CN"/>
        </w:rPr>
        <w:t>XXXX</w:t>
      </w:r>
      <w:r>
        <w:rPr>
          <w:rFonts w:hint="eastAsia" w:ascii="宋体" w:hAnsi="宋体" w:cstheme="minorBidi"/>
          <w:color w:val="auto"/>
          <w:sz w:val="24"/>
          <w:szCs w:val="24"/>
        </w:rPr>
        <w:t>项目</w:t>
      </w:r>
      <w:r>
        <w:rPr>
          <w:rFonts w:hint="eastAsia" w:ascii="宋体" w:hAnsi="宋体" w:cstheme="minorBidi"/>
          <w:color w:val="auto"/>
          <w:sz w:val="24"/>
          <w:szCs w:val="24"/>
          <w:lang w:eastAsia="zh-CN"/>
        </w:rPr>
        <w:t>报价一览表</w:t>
      </w:r>
      <w:r>
        <w:rPr>
          <w:rFonts w:hint="eastAsia" w:ascii="宋体" w:hAnsi="宋体" w:cstheme="minorBidi"/>
          <w:color w:val="auto"/>
          <w:sz w:val="24"/>
          <w:szCs w:val="24"/>
        </w:rPr>
        <w:t>》（以下简称“《</w:t>
      </w:r>
      <w:r>
        <w:rPr>
          <w:rFonts w:hint="eastAsia" w:ascii="宋体" w:hAnsi="宋体" w:cstheme="minorBidi"/>
          <w:color w:val="auto"/>
          <w:sz w:val="24"/>
          <w:szCs w:val="24"/>
          <w:lang w:eastAsia="zh-CN"/>
        </w:rPr>
        <w:t>报价一览表</w:t>
      </w:r>
      <w:r>
        <w:rPr>
          <w:rFonts w:hint="eastAsia" w:ascii="宋体" w:hAnsi="宋体" w:cstheme="minorBidi"/>
          <w:color w:val="auto"/>
          <w:sz w:val="24"/>
          <w:szCs w:val="24"/>
        </w:rPr>
        <w:t>》”），开标现场录入供应商报价电子版信息。《</w:t>
      </w:r>
      <w:r>
        <w:rPr>
          <w:rFonts w:hint="eastAsia" w:ascii="宋体" w:hAnsi="宋体" w:cstheme="minorBidi"/>
          <w:color w:val="auto"/>
          <w:sz w:val="24"/>
          <w:szCs w:val="24"/>
          <w:lang w:eastAsia="zh-CN"/>
        </w:rPr>
        <w:t>报价一览表</w:t>
      </w:r>
      <w:r>
        <w:rPr>
          <w:rFonts w:hint="eastAsia" w:ascii="宋体" w:hAnsi="宋体" w:cstheme="minorBidi"/>
          <w:color w:val="auto"/>
          <w:sz w:val="24"/>
          <w:szCs w:val="24"/>
        </w:rPr>
        <w:t>》文件格式均为Excel 表格，且不允许修改格式，若不按此格式进行报价，则视为无效报价；《</w:t>
      </w:r>
      <w:r>
        <w:rPr>
          <w:rFonts w:hint="eastAsia" w:ascii="宋体" w:hAnsi="宋体" w:cstheme="minorBidi"/>
          <w:color w:val="auto"/>
          <w:sz w:val="24"/>
          <w:szCs w:val="24"/>
          <w:lang w:eastAsia="zh-CN"/>
        </w:rPr>
        <w:t>报价一览表</w:t>
      </w:r>
      <w:r>
        <w:rPr>
          <w:rFonts w:hint="eastAsia" w:ascii="宋体" w:hAnsi="宋体" w:cstheme="minorBidi"/>
          <w:color w:val="auto"/>
          <w:sz w:val="24"/>
          <w:szCs w:val="24"/>
        </w:rPr>
        <w:t>》中条目不允许增删、改动、筛选、隐藏，尤其是“序号”列，若有则视为无效报价；《</w:t>
      </w:r>
      <w:r>
        <w:rPr>
          <w:rFonts w:hint="eastAsia" w:ascii="宋体" w:hAnsi="宋体" w:cstheme="minorBidi"/>
          <w:color w:val="auto"/>
          <w:sz w:val="24"/>
          <w:szCs w:val="24"/>
          <w:lang w:eastAsia="zh-CN"/>
        </w:rPr>
        <w:t>报价一览表</w:t>
      </w:r>
      <w:r>
        <w:rPr>
          <w:rFonts w:hint="eastAsia" w:ascii="宋体" w:hAnsi="宋体" w:cstheme="minorBidi"/>
          <w:color w:val="auto"/>
          <w:sz w:val="24"/>
          <w:szCs w:val="24"/>
        </w:rPr>
        <w:t>》表格不能存在数据引用、链接、运算、样式、合并单元格等相关内容。</w:t>
      </w:r>
    </w:p>
    <w:p>
      <w:pPr>
        <w:jc w:val="both"/>
        <w:rPr>
          <w:rFonts w:hint="eastAsia" w:ascii="黑体" w:hAnsi="黑体" w:eastAsia="黑体"/>
          <w:color w:val="auto"/>
          <w:sz w:val="36"/>
          <w:szCs w:val="24"/>
        </w:rPr>
      </w:pPr>
    </w:p>
    <w:p>
      <w:pPr>
        <w:pStyle w:val="3"/>
        <w:rPr>
          <w:color w:val="auto"/>
        </w:rPr>
      </w:pPr>
    </w:p>
    <w:p>
      <w:pPr>
        <w:rPr>
          <w:color w:val="auto"/>
        </w:rPr>
      </w:pPr>
    </w:p>
    <w:p>
      <w:pPr>
        <w:rPr>
          <w:color w:val="auto"/>
        </w:rPr>
      </w:pPr>
    </w:p>
    <w:p>
      <w:pPr>
        <w:pStyle w:val="3"/>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附件一：投标函</w:t>
      </w:r>
    </w:p>
    <w:p>
      <w:pPr>
        <w:pStyle w:val="3"/>
        <w:rPr>
          <w:rFonts w:hint="eastAsia"/>
          <w:color w:val="auto"/>
          <w:lang w:val="en-US" w:eastAsia="zh-CN"/>
        </w:rPr>
      </w:pPr>
    </w:p>
    <w:p>
      <w:pPr>
        <w:spacing w:line="24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投标</w:t>
      </w:r>
      <w:r>
        <w:rPr>
          <w:rFonts w:hint="eastAsia" w:asciiTheme="minorEastAsia" w:hAnsiTheme="minorEastAsia" w:eastAsiaTheme="minorEastAsia" w:cstheme="minorEastAsia"/>
          <w:b/>
          <w:bCs/>
          <w:color w:val="auto"/>
          <w:sz w:val="24"/>
          <w:szCs w:val="24"/>
          <w:highlight w:val="none"/>
          <w:lang w:eastAsia="zh-CN"/>
        </w:rPr>
        <w:t>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（招标人名称）                            ：</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根据贵方为</w:t>
      </w:r>
      <w:r>
        <w:rPr>
          <w:rFonts w:hint="eastAsia" w:asciiTheme="minorEastAsia" w:hAnsiTheme="minorEastAsia" w:eastAsiaTheme="minorEastAsia" w:cstheme="minorEastAsia"/>
          <w:color w:val="auto"/>
          <w:sz w:val="24"/>
          <w:szCs w:val="24"/>
          <w:highlight w:val="none"/>
          <w:u w:val="single"/>
          <w:lang w:val="en-US" w:eastAsia="zh-CN"/>
        </w:rPr>
        <w:t xml:space="preserve">                                                        （项目名称）  </w:t>
      </w:r>
      <w:r>
        <w:rPr>
          <w:rFonts w:hint="eastAsia" w:asciiTheme="minorEastAsia" w:hAnsiTheme="minorEastAsia" w:eastAsiaTheme="minorEastAsia" w:cstheme="minorEastAsia"/>
          <w:color w:val="auto"/>
          <w:sz w:val="24"/>
          <w:szCs w:val="24"/>
          <w:highlight w:val="none"/>
        </w:rPr>
        <w:t>招标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，签字代表</w:t>
      </w:r>
      <w:r>
        <w:rPr>
          <w:rFonts w:hint="eastAsia" w:asciiTheme="minorEastAsia" w:hAnsiTheme="minorEastAsia" w:eastAsiaTheme="minorEastAsia" w:cstheme="minorEastAsia"/>
          <w:color w:val="auto"/>
          <w:sz w:val="24"/>
          <w:szCs w:val="24"/>
          <w:highlight w:val="none"/>
          <w:u w:val="single"/>
        </w:rPr>
        <w:t xml:space="preserve">（全名、职务）           </w:t>
      </w:r>
      <w:r>
        <w:rPr>
          <w:rFonts w:hint="eastAsia" w:asciiTheme="minorEastAsia" w:hAnsiTheme="minorEastAsia" w:eastAsiaTheme="minorEastAsia" w:cstheme="minorEastAsia"/>
          <w:color w:val="auto"/>
          <w:sz w:val="24"/>
          <w:szCs w:val="24"/>
          <w:highlight w:val="none"/>
        </w:rPr>
        <w:t>经正式授权并代表投标人</w:t>
      </w:r>
      <w:r>
        <w:rPr>
          <w:rFonts w:hint="eastAsia" w:asciiTheme="minorEastAsia" w:hAnsiTheme="minorEastAsia" w:eastAsiaTheme="minorEastAsia" w:cstheme="minorEastAsia"/>
          <w:color w:val="auto"/>
          <w:sz w:val="24"/>
          <w:szCs w:val="24"/>
          <w:highlight w:val="none"/>
          <w:u w:val="single"/>
        </w:rPr>
        <w:t xml:space="preserve">（投标人名称、地址）              </w:t>
      </w:r>
      <w:r>
        <w:rPr>
          <w:rFonts w:hint="eastAsia" w:asciiTheme="minorEastAsia" w:hAnsiTheme="minorEastAsia" w:eastAsiaTheme="minorEastAsia" w:cstheme="minorEastAsia"/>
          <w:color w:val="auto"/>
          <w:sz w:val="24"/>
          <w:szCs w:val="24"/>
          <w:highlight w:val="none"/>
        </w:rPr>
        <w:t>提交下述文件：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据此，签字代表宣布同意如下：</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投标人将按招标文件的规定履行合同责任和义务。</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投标人已详细审查全部招标文件，包括修改文件（如有的话）以及全部参考资料和有关附件，我们完全理解并同意放弃对这方面有不明及误解的权利。</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投标有效期：自投标截止之日起至合同签署日一直有效。</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投标人同意提供贵方要求的可能与投标有关的一切数据和资料，完全理解贵方不一定要接受最低价的投标或收到的任何投标。</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投标人承诺所提供的所有数据和资料均真实有效，如存在虚报情况，投标人愿为此承担一切法律责任，并主动退出本项目竞标。</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与本投标有关的一切正式往来通讯请寄：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                                   邮编：</w:t>
      </w:r>
    </w:p>
    <w:p>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投标人授权代表签字：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职务：                 </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投标人名称（及公章）：</w:t>
      </w:r>
    </w:p>
    <w:p>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日期：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pPr>
        <w:spacing w:line="240" w:lineRule="auto"/>
        <w:rPr>
          <w:rFonts w:hint="eastAsia" w:asciiTheme="minorEastAsia" w:hAnsiTheme="minorEastAsia" w:eastAsiaTheme="minorEastAsia" w:cstheme="minorEastAsia"/>
          <w:color w:val="auto"/>
          <w:sz w:val="24"/>
          <w:szCs w:val="24"/>
          <w:highlight w:val="none"/>
        </w:rPr>
      </w:pPr>
    </w:p>
    <w:p>
      <w:pPr>
        <w:spacing w:line="240" w:lineRule="auto"/>
        <w:rPr>
          <w:rFonts w:hint="eastAsia" w:asciiTheme="minorEastAsia" w:hAnsiTheme="minorEastAsia" w:eastAsiaTheme="minorEastAsia" w:cstheme="minorEastAsia"/>
          <w:color w:val="auto"/>
          <w:sz w:val="24"/>
          <w:szCs w:val="24"/>
          <w:highlight w:val="none"/>
        </w:rPr>
      </w:pPr>
    </w:p>
    <w:p>
      <w:pPr>
        <w:pStyle w:val="3"/>
        <w:rPr>
          <w:rFonts w:hint="eastAsia" w:asciiTheme="minorEastAsia" w:hAnsiTheme="minorEastAsia" w:eastAsiaTheme="minorEastAsia" w:cstheme="minorEastAsia"/>
          <w:color w:val="auto"/>
          <w:sz w:val="24"/>
          <w:szCs w:val="24"/>
          <w:highlight w:val="none"/>
        </w:rPr>
      </w:pPr>
    </w:p>
    <w:p>
      <w:pPr>
        <w:rPr>
          <w:rFonts w:hint="eastAsia"/>
        </w:rPr>
      </w:pPr>
    </w:p>
    <w:p>
      <w:pPr>
        <w:spacing w:line="240" w:lineRule="auto"/>
        <w:rPr>
          <w:rFonts w:hint="eastAsia" w:asciiTheme="minorEastAsia" w:hAnsiTheme="minorEastAsia" w:eastAsiaTheme="minorEastAsia" w:cstheme="minorEastAsia"/>
          <w:color w:val="auto"/>
          <w:sz w:val="24"/>
          <w:szCs w:val="24"/>
          <w:highlight w:val="none"/>
        </w:rPr>
      </w:pPr>
    </w:p>
    <w:p>
      <w:pPr>
        <w:spacing w:line="240" w:lineRule="auto"/>
        <w:rPr>
          <w:rFonts w:hint="eastAsia" w:asciiTheme="minorEastAsia" w:hAnsiTheme="minorEastAsia" w:eastAsiaTheme="minorEastAsia" w:cstheme="minorEastAsia"/>
          <w:color w:val="auto"/>
          <w:sz w:val="24"/>
          <w:szCs w:val="24"/>
          <w:highlight w:val="none"/>
        </w:rPr>
      </w:pP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附件二：授权委托书</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pPr>
        <w:spacing w:line="240" w:lineRule="auto"/>
        <w:jc w:val="center"/>
        <w:rPr>
          <w:rFonts w:hint="eastAsia" w:ascii="黑体" w:hAnsi="黑体" w:eastAsia="黑体"/>
          <w:b/>
          <w:bCs/>
          <w:color w:val="auto"/>
          <w:sz w:val="36"/>
          <w:szCs w:val="36"/>
          <w:highlight w:val="none"/>
        </w:rPr>
      </w:pPr>
      <w:r>
        <w:rPr>
          <w:rFonts w:hint="eastAsia" w:ascii="黑体" w:hAnsi="黑体" w:eastAsia="黑体"/>
          <w:b/>
          <w:bCs/>
          <w:color w:val="auto"/>
          <w:sz w:val="36"/>
          <w:szCs w:val="36"/>
          <w:highlight w:val="none"/>
        </w:rPr>
        <w:t>法人授权委托书</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（招标人名称）                            ：</w:t>
      </w:r>
      <w:r>
        <w:rPr>
          <w:rFonts w:hint="eastAsia" w:asciiTheme="minorEastAsia" w:hAnsiTheme="minorEastAsia" w:eastAsiaTheme="minorEastAsia" w:cstheme="minorEastAsia"/>
          <w:color w:val="auto"/>
          <w:sz w:val="24"/>
          <w:szCs w:val="24"/>
          <w:highlight w:val="none"/>
        </w:rPr>
        <w:t xml:space="preserve"> </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rPr>
        <w:t xml:space="preserve">（法人姓名）       </w:t>
      </w: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（投标人名称）                   </w:t>
      </w:r>
      <w:r>
        <w:rPr>
          <w:rFonts w:hint="eastAsia" w:asciiTheme="minorEastAsia" w:hAnsiTheme="minorEastAsia" w:eastAsiaTheme="minorEastAsia" w:cstheme="minorEastAsia"/>
          <w:color w:val="auto"/>
          <w:sz w:val="24"/>
          <w:szCs w:val="24"/>
          <w:highlight w:val="none"/>
        </w:rPr>
        <w:t>的法定代</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表人，现授权委托</w:t>
      </w:r>
      <w:r>
        <w:rPr>
          <w:rFonts w:hint="eastAsia" w:asciiTheme="minorEastAsia" w:hAnsiTheme="minorEastAsia" w:eastAsiaTheme="minorEastAsia" w:cstheme="minorEastAsia"/>
          <w:color w:val="auto"/>
          <w:sz w:val="24"/>
          <w:szCs w:val="24"/>
          <w:highlight w:val="none"/>
          <w:u w:val="single"/>
        </w:rPr>
        <w:t xml:space="preserve">（投标人名称）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 xml:space="preserve"> （授权委托代理人姓名）        </w:t>
      </w:r>
      <w:r>
        <w:rPr>
          <w:rFonts w:hint="eastAsia" w:asciiTheme="minorEastAsia" w:hAnsiTheme="minorEastAsia" w:eastAsiaTheme="minorEastAsia" w:cstheme="minorEastAsia"/>
          <w:color w:val="auto"/>
          <w:sz w:val="24"/>
          <w:szCs w:val="24"/>
          <w:highlight w:val="none"/>
        </w:rPr>
        <w:t>为我公司参加贵方组织的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项目名称）  </w:t>
      </w:r>
      <w:r>
        <w:rPr>
          <w:rFonts w:hint="eastAsia" w:asciiTheme="minorEastAsia" w:hAnsiTheme="minorEastAsia" w:eastAsiaTheme="minorEastAsia" w:cstheme="minorEastAsia"/>
          <w:color w:val="auto"/>
          <w:sz w:val="24"/>
          <w:szCs w:val="24"/>
          <w:highlight w:val="none"/>
        </w:rPr>
        <w:t>的法定代表人授权委托代理人，全权代表本公司处理投标过程的一切事宜，包括：投标、参与开标、谈判、签约等。</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投标人授权代表在投标过程中所签署的一切文件和处理与之有关的一切事务，我公司均予认可并对此承担全部责任。 </w:t>
      </w:r>
    </w:p>
    <w:p>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委托期限：</w:t>
      </w:r>
      <w:r>
        <w:rPr>
          <w:rFonts w:hint="eastAsia" w:asciiTheme="minorEastAsia" w:hAnsiTheme="minorEastAsia" w:eastAsiaTheme="minorEastAsia" w:cstheme="minorEastAsia"/>
          <w:color w:val="auto"/>
          <w:sz w:val="24"/>
          <w:szCs w:val="24"/>
          <w:highlight w:val="none"/>
          <w:u w:val="single"/>
        </w:rPr>
        <w:t>202X 年 XX 月 XX 日至 202X 年 X 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XX 日</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全权代表无转委权。特此委托。</w:t>
      </w:r>
    </w:p>
    <w:tbl>
      <w:tblPr>
        <w:tblStyle w:val="9"/>
        <w:tblpPr w:leftFromText="180" w:rightFromText="180" w:vertAnchor="text" w:horzAnchor="page" w:tblpX="6146" w:tblpY="3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3980" w:type="dxa"/>
            <w:noWrap w:val="0"/>
            <w:vAlign w:val="top"/>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oftHyphen/>
            </w:r>
            <w:r>
              <w:rPr>
                <w:rFonts w:hint="eastAsia" w:asciiTheme="minorEastAsia" w:hAnsiTheme="minorEastAsia" w:eastAsiaTheme="minorEastAsia" w:cstheme="minorEastAsia"/>
                <w:color w:val="auto"/>
                <w:sz w:val="24"/>
                <w:szCs w:val="24"/>
                <w:highlight w:val="none"/>
              </w:rPr>
              <w:softHyphen/>
            </w:r>
            <w:r>
              <w:rPr>
                <w:rFonts w:hint="eastAsia" w:asciiTheme="minorEastAsia" w:hAnsiTheme="minorEastAsia" w:eastAsiaTheme="minorEastAsia" w:cstheme="minorEastAsia"/>
                <w:color w:val="auto"/>
                <w:sz w:val="24"/>
                <w:szCs w:val="24"/>
                <w:highlight w:val="none"/>
              </w:rPr>
              <w:softHyphen/>
            </w:r>
            <w:r>
              <w:rPr>
                <w:rFonts w:hint="eastAsia" w:asciiTheme="minorEastAsia" w:hAnsiTheme="minorEastAsia" w:eastAsiaTheme="minorEastAsia" w:cstheme="minorEastAsia"/>
                <w:color w:val="auto"/>
                <w:sz w:val="24"/>
                <w:szCs w:val="24"/>
                <w:highlight w:val="none"/>
              </w:rPr>
              <w:softHyphen/>
            </w:r>
            <w:r>
              <w:rPr>
                <w:rFonts w:hint="eastAsia" w:asciiTheme="minorEastAsia" w:hAnsiTheme="minorEastAsia" w:eastAsiaTheme="minorEastAsia" w:cstheme="minorEastAsia"/>
                <w:color w:val="auto"/>
                <w:sz w:val="24"/>
                <w:szCs w:val="24"/>
                <w:highlight w:val="none"/>
              </w:rPr>
              <w:t>法定代表人身份证复印件（反面）</w:t>
            </w:r>
          </w:p>
        </w:tc>
      </w:tr>
    </w:tbl>
    <w:p>
      <w:pPr>
        <w:spacing w:line="240" w:lineRule="auto"/>
        <w:rPr>
          <w:rFonts w:hint="eastAsia" w:asciiTheme="minorEastAsia" w:hAnsiTheme="minorEastAsia" w:eastAsiaTheme="minorEastAsia" w:cstheme="minorEastAsia"/>
          <w:color w:val="auto"/>
          <w:sz w:val="24"/>
          <w:szCs w:val="24"/>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4077" w:type="dxa"/>
            <w:noWrap w:val="0"/>
            <w:vAlign w:val="top"/>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法定代表人身份证复印件（正面）</w:t>
            </w:r>
          </w:p>
        </w:tc>
      </w:tr>
    </w:tbl>
    <w:p>
      <w:pPr>
        <w:spacing w:line="240" w:lineRule="auto"/>
        <w:rPr>
          <w:rFonts w:hint="eastAsia" w:asciiTheme="minorEastAsia" w:hAnsiTheme="minorEastAsia" w:eastAsiaTheme="minorEastAsia" w:cstheme="minorEastAsia"/>
          <w:vanish/>
          <w:color w:val="auto"/>
          <w:sz w:val="24"/>
          <w:szCs w:val="24"/>
          <w:highlight w:val="none"/>
        </w:rPr>
      </w:pPr>
    </w:p>
    <w:p>
      <w:pPr>
        <w:spacing w:line="240" w:lineRule="auto"/>
        <w:rPr>
          <w:rFonts w:hint="eastAsia" w:asciiTheme="minorEastAsia" w:hAnsiTheme="minorEastAsia" w:eastAsiaTheme="minorEastAsia" w:cstheme="minorEastAsia"/>
          <w:vanish/>
          <w:color w:val="auto"/>
          <w:sz w:val="24"/>
          <w:szCs w:val="24"/>
          <w:highlight w:val="none"/>
        </w:rPr>
      </w:pPr>
    </w:p>
    <w:tbl>
      <w:tblPr>
        <w:tblStyle w:val="9"/>
        <w:tblpPr w:leftFromText="180" w:rightFromText="180" w:vertAnchor="text" w:horzAnchor="page" w:tblpX="6141" w:tblpY="7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3990" w:type="dxa"/>
            <w:noWrap w:val="0"/>
            <w:vAlign w:val="top"/>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授权代理人身份证复印件（反面）</w:t>
            </w:r>
          </w:p>
        </w:tc>
      </w:tr>
    </w:tbl>
    <w:p>
      <w:pPr>
        <w:spacing w:line="240" w:lineRule="auto"/>
        <w:rPr>
          <w:rFonts w:hint="eastAsia" w:asciiTheme="minorEastAsia" w:hAnsiTheme="minorEastAsia" w:eastAsiaTheme="minorEastAsia" w:cstheme="minorEastAsia"/>
          <w:color w:val="auto"/>
          <w:sz w:val="24"/>
          <w:szCs w:val="24"/>
          <w:highlight w:val="none"/>
        </w:rPr>
      </w:pPr>
    </w:p>
    <w:p>
      <w:pPr>
        <w:spacing w:line="240" w:lineRule="auto"/>
        <w:rPr>
          <w:rFonts w:hint="eastAsia" w:asciiTheme="minorEastAsia" w:hAnsiTheme="minorEastAsia" w:eastAsiaTheme="minorEastAsia" w:cstheme="minorEastAsia"/>
          <w:color w:val="auto"/>
          <w:sz w:val="24"/>
          <w:szCs w:val="24"/>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4077" w:type="dxa"/>
            <w:noWrap w:val="0"/>
            <w:vAlign w:val="top"/>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授权代理人身份证复印件（正面）</w:t>
            </w:r>
          </w:p>
        </w:tc>
      </w:tr>
    </w:tbl>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单位名称（公章）：</w:t>
      </w:r>
      <w:r>
        <w:rPr>
          <w:rFonts w:hint="eastAsia" w:asciiTheme="minorEastAsia" w:hAnsiTheme="minorEastAsia" w:eastAsiaTheme="minorEastAsia" w:cstheme="minorEastAsia"/>
          <w:color w:val="auto"/>
          <w:sz w:val="24"/>
          <w:szCs w:val="24"/>
          <w:highlight w:val="none"/>
          <w:u w:val="single"/>
        </w:rPr>
        <w:t xml:space="preserve">                  </w:t>
      </w:r>
    </w:p>
    <w:p>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法定代表人签字：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授权代理人签字：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附件三：</w:t>
      </w:r>
      <w:r>
        <w:rPr>
          <w:rFonts w:hint="eastAsia" w:ascii="宋体" w:hAnsi="宋体" w:cs="宋体"/>
          <w:b w:val="0"/>
          <w:bCs w:val="0"/>
          <w:color w:val="auto"/>
          <w:sz w:val="24"/>
          <w:szCs w:val="24"/>
        </w:rPr>
        <w:t>投标人基本情况表</w:t>
      </w:r>
    </w:p>
    <w:p>
      <w:pPr>
        <w:spacing w:line="240" w:lineRule="auto"/>
        <w:rPr>
          <w:rFonts w:hint="eastAsia" w:asciiTheme="minorEastAsia" w:hAnsiTheme="minorEastAsia" w:eastAsiaTheme="minorEastAsia" w:cstheme="minorEastAsia"/>
          <w:color w:val="auto"/>
          <w:sz w:val="24"/>
          <w:szCs w:val="24"/>
          <w:highlight w:val="none"/>
        </w:rPr>
      </w:pPr>
    </w:p>
    <w:p>
      <w:pPr>
        <w:spacing w:line="240" w:lineRule="auto"/>
        <w:jc w:val="center"/>
        <w:rPr>
          <w:rFonts w:hint="eastAsia" w:ascii="黑体" w:eastAsia="黑体"/>
          <w:color w:val="auto"/>
          <w:sz w:val="36"/>
          <w:szCs w:val="22"/>
          <w:highlight w:val="none"/>
        </w:rPr>
      </w:pPr>
      <w:r>
        <w:rPr>
          <w:rFonts w:hint="eastAsia" w:eastAsia="黑体"/>
          <w:b/>
          <w:bCs/>
          <w:color w:val="auto"/>
          <w:sz w:val="36"/>
          <w:szCs w:val="22"/>
          <w:highlight w:val="none"/>
        </w:rPr>
        <w:t>企业情况一览表</w:t>
      </w:r>
    </w:p>
    <w:tbl>
      <w:tblPr>
        <w:tblStyle w:val="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2269"/>
        <w:gridCol w:w="1276"/>
        <w:gridCol w:w="1400"/>
        <w:gridCol w:w="129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公司名称</w:t>
            </w:r>
          </w:p>
        </w:tc>
        <w:tc>
          <w:tcPr>
            <w:tcW w:w="2269" w:type="dxa"/>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276" w:type="dxa"/>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p>
        </w:tc>
        <w:tc>
          <w:tcPr>
            <w:tcW w:w="1400" w:type="dxa"/>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293" w:type="dxa"/>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注册资本</w:t>
            </w:r>
          </w:p>
        </w:tc>
        <w:tc>
          <w:tcPr>
            <w:tcW w:w="2263" w:type="dxa"/>
            <w:noWrap w:val="0"/>
            <w:vAlign w:val="center"/>
          </w:tcPr>
          <w:p>
            <w:pPr>
              <w:spacing w:line="24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公司在册员工人数</w:t>
            </w:r>
          </w:p>
        </w:tc>
        <w:tc>
          <w:tcPr>
            <w:tcW w:w="3545" w:type="dxa"/>
            <w:gridSpan w:val="2"/>
            <w:noWrap w:val="0"/>
            <w:vAlign w:val="center"/>
          </w:tcPr>
          <w:p>
            <w:pPr>
              <w:spacing w:line="24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w:t>
            </w:r>
          </w:p>
        </w:tc>
        <w:tc>
          <w:tcPr>
            <w:tcW w:w="2693" w:type="dxa"/>
            <w:gridSpan w:val="2"/>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专业员工人数</w:t>
            </w:r>
          </w:p>
        </w:tc>
        <w:tc>
          <w:tcPr>
            <w:tcW w:w="2263" w:type="dxa"/>
            <w:noWrap w:val="0"/>
            <w:vAlign w:val="center"/>
          </w:tcPr>
          <w:p>
            <w:pPr>
              <w:spacing w:line="24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9" w:hRule="atLeast"/>
          <w:jc w:val="center"/>
        </w:trPr>
        <w:tc>
          <w:tcPr>
            <w:tcW w:w="1415" w:type="dxa"/>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1"/>
                <w:szCs w:val="21"/>
                <w:highlight w:val="none"/>
              </w:rPr>
              <w:t>公司主要业务</w:t>
            </w:r>
            <w:r>
              <w:rPr>
                <w:rFonts w:hint="eastAsia" w:ascii="宋体" w:hAnsi="宋体" w:cs="宋体"/>
                <w:color w:val="auto"/>
                <w:sz w:val="21"/>
                <w:szCs w:val="21"/>
                <w:highlight w:val="none"/>
                <w:lang w:val="en-US" w:eastAsia="zh-CN"/>
              </w:rPr>
              <w:t>及实力介绍</w:t>
            </w:r>
          </w:p>
        </w:tc>
        <w:tc>
          <w:tcPr>
            <w:tcW w:w="8501" w:type="dxa"/>
            <w:gridSpan w:val="5"/>
            <w:noWrap w:val="0"/>
            <w:vAlign w:val="top"/>
          </w:tcPr>
          <w:p>
            <w:pPr>
              <w:jc w:val="both"/>
              <w:rPr>
                <w:rFonts w:hint="default" w:ascii="宋体" w:hAnsi="宋体" w:eastAsiaTheme="minorEastAsia"/>
                <w:color w:val="auto"/>
                <w:sz w:val="24"/>
                <w:lang w:val="en-US" w:eastAsia="zh-CN"/>
              </w:rPr>
            </w:pPr>
            <w:r>
              <w:rPr>
                <w:rFonts w:hint="eastAsia" w:ascii="宋体" w:hAnsi="宋体"/>
                <w:color w:val="auto"/>
                <w:sz w:val="24"/>
                <w:lang w:val="en-US" w:eastAsia="zh-CN"/>
              </w:rPr>
              <w:t>包含：</w:t>
            </w:r>
            <w:r>
              <w:rPr>
                <w:rFonts w:hint="eastAsia" w:ascii="宋体" w:hAnsi="宋体"/>
                <w:color w:val="auto"/>
                <w:sz w:val="24"/>
              </w:rPr>
              <w:t>专业从</w:t>
            </w:r>
            <w:r>
              <w:rPr>
                <w:rFonts w:hint="eastAsia" w:ascii="宋体" w:hAnsi="宋体"/>
                <w:color w:val="auto"/>
                <w:sz w:val="24"/>
                <w:lang w:val="en-US" w:eastAsia="zh-CN"/>
              </w:rPr>
              <w:t>相关</w:t>
            </w:r>
            <w:r>
              <w:rPr>
                <w:rFonts w:hint="eastAsia" w:ascii="宋体" w:hAnsi="宋体"/>
                <w:color w:val="auto"/>
                <w:sz w:val="24"/>
              </w:rPr>
              <w:t>工作人员及工作经历</w:t>
            </w:r>
            <w:r>
              <w:rPr>
                <w:rFonts w:hint="eastAsia" w:ascii="宋体" w:hAnsi="宋体"/>
                <w:color w:val="auto"/>
                <w:sz w:val="24"/>
                <w:lang w:eastAsia="zh-CN"/>
              </w:rPr>
              <w:t>、</w:t>
            </w:r>
            <w:r>
              <w:rPr>
                <w:rFonts w:hint="eastAsia" w:ascii="宋体" w:hAnsi="宋体"/>
                <w:color w:val="auto"/>
                <w:sz w:val="24"/>
              </w:rPr>
              <w:t>公司在册员工人数（缴纳社保人员）</w:t>
            </w:r>
            <w:r>
              <w:rPr>
                <w:rFonts w:hint="eastAsia" w:ascii="宋体" w:hAnsi="宋体"/>
                <w:color w:val="auto"/>
                <w:sz w:val="24"/>
                <w:lang w:val="en-US" w:eastAsia="zh-CN"/>
              </w:rPr>
              <w:t>等内容</w:t>
            </w:r>
          </w:p>
          <w:p>
            <w:pPr>
              <w:spacing w:line="240" w:lineRule="auto"/>
              <w:jc w:val="both"/>
              <w:rPr>
                <w:rFonts w:hint="eastAsia" w:asciiTheme="minorEastAsia" w:hAnsiTheme="minorEastAsia" w:eastAsiaTheme="minorEastAsia" w:cstheme="minorEastAsia"/>
                <w:color w:val="auto"/>
                <w:sz w:val="24"/>
                <w:szCs w:val="24"/>
                <w:highlight w:val="none"/>
              </w:rPr>
            </w:pPr>
          </w:p>
        </w:tc>
      </w:tr>
    </w:tbl>
    <w:p>
      <w:pPr>
        <w:pStyle w:val="4"/>
        <w:spacing w:line="240" w:lineRule="auto"/>
        <w:ind w:firstLine="240" w:firstLineChars="1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投标人名称（盖章）：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法定代表人或授权代表签字：</w:t>
      </w:r>
    </w:p>
    <w:p>
      <w:pPr>
        <w:pStyle w:val="4"/>
        <w:spacing w:line="240" w:lineRule="auto"/>
        <w:rPr>
          <w:rFonts w:hint="eastAsia" w:asciiTheme="minorEastAsia" w:hAnsiTheme="minorEastAsia" w:eastAsiaTheme="minorEastAsia" w:cstheme="minorEastAsia"/>
          <w:b/>
          <w:color w:val="auto"/>
          <w:sz w:val="24"/>
          <w:szCs w:val="24"/>
          <w:highlight w:val="none"/>
        </w:rPr>
      </w:pPr>
    </w:p>
    <w:p>
      <w:pPr>
        <w:pStyle w:val="4"/>
        <w:spacing w:line="240" w:lineRule="auto"/>
        <w:rPr>
          <w:rFonts w:hint="eastAsia" w:asciiTheme="minorEastAsia" w:hAnsiTheme="minorEastAsia" w:eastAsiaTheme="minorEastAsia" w:cstheme="minorEastAsia"/>
          <w:b/>
          <w:color w:val="auto"/>
          <w:sz w:val="24"/>
          <w:szCs w:val="24"/>
          <w:highlight w:val="none"/>
        </w:rPr>
      </w:pPr>
    </w:p>
    <w:p>
      <w:pPr>
        <w:pStyle w:val="4"/>
        <w:spacing w:line="240" w:lineRule="auto"/>
        <w:ind w:left="708" w:leftChars="115" w:hanging="467" w:hangingChars="19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color w:val="auto"/>
          <w:sz w:val="24"/>
          <w:szCs w:val="24"/>
          <w:highlight w:val="none"/>
        </w:rPr>
        <w:t>1.投标人为满足本招标项目之需，需实际配置的、包含但不限于上述设备、人员及其他条目；</w:t>
      </w:r>
    </w:p>
    <w:p>
      <w:pPr>
        <w:pStyle w:val="4"/>
        <w:spacing w:line="240" w:lineRule="auto"/>
        <w:ind w:left="661" w:leftChars="3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2.投标人可在上表内容基础上，酌情自行增加相关条目，以便更好的满足项目开展之需要。</w:t>
      </w:r>
    </w:p>
    <w:p>
      <w:pPr>
        <w:spacing w:line="240" w:lineRule="auto"/>
        <w:rPr>
          <w:rFonts w:hint="eastAsia" w:asciiTheme="minorEastAsia" w:hAnsiTheme="minorEastAsia" w:eastAsiaTheme="minorEastAsia" w:cstheme="minorEastAsia"/>
          <w:color w:val="auto"/>
          <w:sz w:val="24"/>
          <w:szCs w:val="24"/>
          <w:highlight w:val="none"/>
          <w:lang w:val="en-US" w:eastAsia="zh-CN"/>
        </w:rPr>
      </w:pPr>
    </w:p>
    <w:p>
      <w:pPr>
        <w:spacing w:line="240" w:lineRule="auto"/>
        <w:rPr>
          <w:rFonts w:hint="eastAsia" w:asciiTheme="minorEastAsia" w:hAnsiTheme="minorEastAsia" w:eastAsiaTheme="minorEastAsia" w:cstheme="minorEastAsia"/>
          <w:color w:val="auto"/>
          <w:sz w:val="24"/>
          <w:szCs w:val="24"/>
          <w:highlight w:val="none"/>
          <w:lang w:val="en-US" w:eastAsia="zh-CN"/>
        </w:rPr>
      </w:pP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附件四：</w:t>
      </w:r>
    </w:p>
    <w:p>
      <w:pPr>
        <w:jc w:val="center"/>
        <w:rPr>
          <w:rFonts w:hint="eastAsia" w:eastAsia="黑体"/>
          <w:b/>
          <w:bCs/>
          <w:color w:val="auto"/>
          <w:sz w:val="36"/>
          <w:szCs w:val="22"/>
          <w:highlight w:val="none"/>
        </w:rPr>
      </w:pPr>
      <w:r>
        <w:rPr>
          <w:rFonts w:hint="eastAsia" w:eastAsia="黑体"/>
          <w:b/>
          <w:bCs/>
          <w:color w:val="auto"/>
          <w:sz w:val="36"/>
          <w:szCs w:val="22"/>
          <w:highlight w:val="none"/>
        </w:rPr>
        <w:t>企业业绩一览表</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871"/>
        <w:gridCol w:w="2330"/>
        <w:gridCol w:w="1892"/>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pPr>
              <w:jc w:val="center"/>
              <w:rPr>
                <w:rFonts w:ascii="黑体" w:eastAsia="黑体"/>
                <w:color w:val="auto"/>
                <w:sz w:val="28"/>
              </w:rPr>
            </w:pPr>
            <w:r>
              <w:rPr>
                <w:rFonts w:hint="eastAsia" w:ascii="黑体" w:eastAsia="黑体"/>
                <w:color w:val="auto"/>
                <w:sz w:val="28"/>
              </w:rPr>
              <w:t>序号</w:t>
            </w:r>
          </w:p>
        </w:tc>
        <w:tc>
          <w:tcPr>
            <w:tcW w:w="1007" w:type="pct"/>
            <w:shd w:val="clear" w:color="auto" w:fill="auto"/>
          </w:tcPr>
          <w:p>
            <w:pPr>
              <w:jc w:val="center"/>
              <w:rPr>
                <w:rFonts w:ascii="黑体" w:eastAsia="黑体"/>
                <w:color w:val="auto"/>
                <w:sz w:val="28"/>
              </w:rPr>
            </w:pPr>
            <w:r>
              <w:rPr>
                <w:rFonts w:hint="eastAsia" w:ascii="黑体" w:eastAsia="黑体"/>
                <w:color w:val="auto"/>
                <w:sz w:val="28"/>
              </w:rPr>
              <w:t>采购单位</w:t>
            </w:r>
          </w:p>
        </w:tc>
        <w:tc>
          <w:tcPr>
            <w:tcW w:w="1254" w:type="pct"/>
            <w:shd w:val="clear" w:color="auto" w:fill="auto"/>
          </w:tcPr>
          <w:p>
            <w:pPr>
              <w:jc w:val="center"/>
              <w:rPr>
                <w:rFonts w:ascii="黑体" w:eastAsia="黑体"/>
                <w:color w:val="auto"/>
                <w:sz w:val="28"/>
              </w:rPr>
            </w:pPr>
            <w:r>
              <w:rPr>
                <w:rFonts w:hint="eastAsia" w:ascii="黑体" w:eastAsia="黑体"/>
                <w:color w:val="auto"/>
                <w:sz w:val="28"/>
              </w:rPr>
              <w:t>采购内容</w:t>
            </w:r>
          </w:p>
        </w:tc>
        <w:tc>
          <w:tcPr>
            <w:tcW w:w="1018" w:type="pct"/>
            <w:shd w:val="clear" w:color="auto" w:fill="auto"/>
          </w:tcPr>
          <w:p>
            <w:pPr>
              <w:jc w:val="center"/>
              <w:rPr>
                <w:rFonts w:ascii="黑体" w:eastAsia="黑体"/>
                <w:color w:val="auto"/>
                <w:sz w:val="28"/>
              </w:rPr>
            </w:pPr>
            <w:r>
              <w:rPr>
                <w:rFonts w:hint="eastAsia" w:ascii="黑体" w:eastAsia="黑体"/>
                <w:color w:val="auto"/>
                <w:sz w:val="28"/>
              </w:rPr>
              <w:t>采购时间</w:t>
            </w:r>
          </w:p>
        </w:tc>
        <w:tc>
          <w:tcPr>
            <w:tcW w:w="862" w:type="pct"/>
            <w:shd w:val="clear" w:color="auto" w:fill="auto"/>
          </w:tcPr>
          <w:p>
            <w:pPr>
              <w:jc w:val="center"/>
              <w:rPr>
                <w:rFonts w:ascii="黑体" w:eastAsia="黑体"/>
                <w:color w:val="auto"/>
                <w:sz w:val="28"/>
              </w:rPr>
            </w:pPr>
            <w:r>
              <w:rPr>
                <w:rFonts w:hint="eastAsia" w:ascii="黑体" w:eastAsia="黑体"/>
                <w:color w:val="auto"/>
                <w:sz w:val="28"/>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pPr>
              <w:jc w:val="center"/>
              <w:rPr>
                <w:rFonts w:ascii="黑体" w:eastAsia="黑体"/>
                <w:color w:val="auto"/>
                <w:sz w:val="28"/>
              </w:rPr>
            </w:pPr>
            <w:r>
              <w:rPr>
                <w:rFonts w:hint="eastAsia" w:ascii="黑体" w:eastAsia="黑体"/>
                <w:color w:val="auto"/>
                <w:sz w:val="28"/>
              </w:rPr>
              <w:t>1</w:t>
            </w:r>
          </w:p>
        </w:tc>
        <w:tc>
          <w:tcPr>
            <w:tcW w:w="1007" w:type="pct"/>
            <w:shd w:val="clear" w:color="auto" w:fill="auto"/>
          </w:tcPr>
          <w:p>
            <w:pPr>
              <w:jc w:val="center"/>
              <w:rPr>
                <w:rFonts w:ascii="黑体" w:eastAsia="黑体"/>
                <w:color w:val="auto"/>
                <w:sz w:val="28"/>
              </w:rPr>
            </w:pPr>
          </w:p>
        </w:tc>
        <w:tc>
          <w:tcPr>
            <w:tcW w:w="1254" w:type="pct"/>
            <w:shd w:val="clear" w:color="auto" w:fill="auto"/>
          </w:tcPr>
          <w:p>
            <w:pPr>
              <w:jc w:val="center"/>
              <w:rPr>
                <w:rFonts w:ascii="黑体" w:eastAsia="黑体"/>
                <w:color w:val="auto"/>
                <w:sz w:val="28"/>
              </w:rPr>
            </w:pPr>
          </w:p>
        </w:tc>
        <w:tc>
          <w:tcPr>
            <w:tcW w:w="1018" w:type="pct"/>
            <w:shd w:val="clear" w:color="auto" w:fill="auto"/>
          </w:tcPr>
          <w:p>
            <w:pPr>
              <w:jc w:val="center"/>
              <w:rPr>
                <w:rFonts w:ascii="黑体" w:eastAsia="黑体"/>
                <w:color w:val="auto"/>
                <w:sz w:val="28"/>
              </w:rPr>
            </w:pPr>
          </w:p>
        </w:tc>
        <w:tc>
          <w:tcPr>
            <w:tcW w:w="862" w:type="pct"/>
            <w:shd w:val="clear" w:color="auto" w:fill="auto"/>
          </w:tcPr>
          <w:p>
            <w:pPr>
              <w:jc w:val="center"/>
              <w:rPr>
                <w:rFonts w:ascii="黑体"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pPr>
              <w:jc w:val="center"/>
              <w:rPr>
                <w:rFonts w:ascii="黑体" w:eastAsia="黑体"/>
                <w:color w:val="auto"/>
                <w:sz w:val="28"/>
              </w:rPr>
            </w:pPr>
            <w:r>
              <w:rPr>
                <w:rFonts w:hint="eastAsia" w:ascii="黑体" w:eastAsia="黑体"/>
                <w:color w:val="auto"/>
                <w:sz w:val="28"/>
              </w:rPr>
              <w:t>2</w:t>
            </w:r>
          </w:p>
        </w:tc>
        <w:tc>
          <w:tcPr>
            <w:tcW w:w="1007" w:type="pct"/>
            <w:shd w:val="clear" w:color="auto" w:fill="auto"/>
          </w:tcPr>
          <w:p>
            <w:pPr>
              <w:jc w:val="center"/>
              <w:rPr>
                <w:rFonts w:ascii="黑体" w:eastAsia="黑体"/>
                <w:color w:val="auto"/>
                <w:sz w:val="28"/>
              </w:rPr>
            </w:pPr>
          </w:p>
        </w:tc>
        <w:tc>
          <w:tcPr>
            <w:tcW w:w="1254" w:type="pct"/>
            <w:shd w:val="clear" w:color="auto" w:fill="auto"/>
          </w:tcPr>
          <w:p>
            <w:pPr>
              <w:jc w:val="center"/>
              <w:rPr>
                <w:rFonts w:ascii="黑体" w:eastAsia="黑体"/>
                <w:color w:val="auto"/>
                <w:sz w:val="28"/>
              </w:rPr>
            </w:pPr>
          </w:p>
        </w:tc>
        <w:tc>
          <w:tcPr>
            <w:tcW w:w="1018" w:type="pct"/>
            <w:shd w:val="clear" w:color="auto" w:fill="auto"/>
          </w:tcPr>
          <w:p>
            <w:pPr>
              <w:jc w:val="center"/>
              <w:rPr>
                <w:rFonts w:ascii="黑体" w:eastAsia="黑体"/>
                <w:color w:val="auto"/>
                <w:sz w:val="28"/>
              </w:rPr>
            </w:pPr>
          </w:p>
        </w:tc>
        <w:tc>
          <w:tcPr>
            <w:tcW w:w="862" w:type="pct"/>
            <w:shd w:val="clear" w:color="auto" w:fill="auto"/>
          </w:tcPr>
          <w:p>
            <w:pPr>
              <w:jc w:val="center"/>
              <w:rPr>
                <w:rFonts w:ascii="黑体"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pPr>
              <w:jc w:val="center"/>
              <w:rPr>
                <w:rFonts w:ascii="黑体" w:eastAsia="黑体"/>
                <w:color w:val="auto"/>
                <w:sz w:val="28"/>
              </w:rPr>
            </w:pPr>
            <w:r>
              <w:rPr>
                <w:rFonts w:hint="eastAsia" w:ascii="黑体" w:eastAsia="黑体"/>
                <w:color w:val="auto"/>
                <w:sz w:val="28"/>
              </w:rPr>
              <w:t>3</w:t>
            </w:r>
          </w:p>
        </w:tc>
        <w:tc>
          <w:tcPr>
            <w:tcW w:w="1007" w:type="pct"/>
            <w:shd w:val="clear" w:color="auto" w:fill="auto"/>
          </w:tcPr>
          <w:p>
            <w:pPr>
              <w:jc w:val="center"/>
              <w:rPr>
                <w:rFonts w:ascii="黑体" w:eastAsia="黑体"/>
                <w:color w:val="auto"/>
                <w:sz w:val="28"/>
              </w:rPr>
            </w:pPr>
          </w:p>
        </w:tc>
        <w:tc>
          <w:tcPr>
            <w:tcW w:w="1254" w:type="pct"/>
            <w:shd w:val="clear" w:color="auto" w:fill="auto"/>
          </w:tcPr>
          <w:p>
            <w:pPr>
              <w:jc w:val="center"/>
              <w:rPr>
                <w:rFonts w:ascii="黑体" w:eastAsia="黑体"/>
                <w:color w:val="auto"/>
                <w:sz w:val="28"/>
              </w:rPr>
            </w:pPr>
          </w:p>
        </w:tc>
        <w:tc>
          <w:tcPr>
            <w:tcW w:w="1018" w:type="pct"/>
            <w:shd w:val="clear" w:color="auto" w:fill="auto"/>
          </w:tcPr>
          <w:p>
            <w:pPr>
              <w:jc w:val="center"/>
              <w:rPr>
                <w:rFonts w:ascii="黑体" w:eastAsia="黑体"/>
                <w:color w:val="auto"/>
                <w:sz w:val="28"/>
              </w:rPr>
            </w:pPr>
          </w:p>
        </w:tc>
        <w:tc>
          <w:tcPr>
            <w:tcW w:w="862" w:type="pct"/>
            <w:shd w:val="clear" w:color="auto" w:fill="auto"/>
          </w:tcPr>
          <w:p>
            <w:pPr>
              <w:jc w:val="center"/>
              <w:rPr>
                <w:rFonts w:ascii="黑体"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pPr>
              <w:jc w:val="center"/>
              <w:rPr>
                <w:rFonts w:ascii="黑体" w:eastAsia="黑体"/>
                <w:color w:val="auto"/>
                <w:sz w:val="28"/>
              </w:rPr>
            </w:pPr>
            <w:r>
              <w:rPr>
                <w:rFonts w:hint="eastAsia" w:ascii="黑体" w:eastAsia="黑体"/>
                <w:color w:val="auto"/>
                <w:sz w:val="28"/>
              </w:rPr>
              <w:t>4</w:t>
            </w:r>
          </w:p>
        </w:tc>
        <w:tc>
          <w:tcPr>
            <w:tcW w:w="1007" w:type="pct"/>
            <w:shd w:val="clear" w:color="auto" w:fill="auto"/>
          </w:tcPr>
          <w:p>
            <w:pPr>
              <w:jc w:val="center"/>
              <w:rPr>
                <w:rFonts w:ascii="黑体" w:eastAsia="黑体"/>
                <w:color w:val="auto"/>
                <w:sz w:val="28"/>
              </w:rPr>
            </w:pPr>
          </w:p>
        </w:tc>
        <w:tc>
          <w:tcPr>
            <w:tcW w:w="1254" w:type="pct"/>
            <w:shd w:val="clear" w:color="auto" w:fill="auto"/>
          </w:tcPr>
          <w:p>
            <w:pPr>
              <w:jc w:val="center"/>
              <w:rPr>
                <w:rFonts w:ascii="黑体" w:eastAsia="黑体"/>
                <w:color w:val="auto"/>
                <w:sz w:val="28"/>
              </w:rPr>
            </w:pPr>
          </w:p>
        </w:tc>
        <w:tc>
          <w:tcPr>
            <w:tcW w:w="1018" w:type="pct"/>
            <w:shd w:val="clear" w:color="auto" w:fill="auto"/>
          </w:tcPr>
          <w:p>
            <w:pPr>
              <w:jc w:val="center"/>
              <w:rPr>
                <w:rFonts w:ascii="黑体" w:eastAsia="黑体"/>
                <w:color w:val="auto"/>
                <w:sz w:val="28"/>
              </w:rPr>
            </w:pPr>
          </w:p>
        </w:tc>
        <w:tc>
          <w:tcPr>
            <w:tcW w:w="862" w:type="pct"/>
            <w:shd w:val="clear" w:color="auto" w:fill="auto"/>
          </w:tcPr>
          <w:p>
            <w:pPr>
              <w:jc w:val="center"/>
              <w:rPr>
                <w:rFonts w:ascii="黑体"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pPr>
              <w:jc w:val="center"/>
              <w:rPr>
                <w:rFonts w:ascii="黑体" w:eastAsia="黑体"/>
                <w:color w:val="auto"/>
                <w:sz w:val="28"/>
              </w:rPr>
            </w:pPr>
            <w:r>
              <w:rPr>
                <w:rFonts w:hint="eastAsia" w:ascii="黑体" w:eastAsia="黑体"/>
                <w:color w:val="auto"/>
                <w:sz w:val="28"/>
              </w:rPr>
              <w:t>5</w:t>
            </w:r>
          </w:p>
        </w:tc>
        <w:tc>
          <w:tcPr>
            <w:tcW w:w="1007" w:type="pct"/>
            <w:shd w:val="clear" w:color="auto" w:fill="auto"/>
          </w:tcPr>
          <w:p>
            <w:pPr>
              <w:jc w:val="center"/>
              <w:rPr>
                <w:rFonts w:ascii="黑体" w:eastAsia="黑体"/>
                <w:color w:val="auto"/>
                <w:sz w:val="28"/>
              </w:rPr>
            </w:pPr>
          </w:p>
        </w:tc>
        <w:tc>
          <w:tcPr>
            <w:tcW w:w="1254" w:type="pct"/>
            <w:shd w:val="clear" w:color="auto" w:fill="auto"/>
          </w:tcPr>
          <w:p>
            <w:pPr>
              <w:jc w:val="center"/>
              <w:rPr>
                <w:rFonts w:ascii="黑体" w:eastAsia="黑体"/>
                <w:color w:val="auto"/>
                <w:sz w:val="28"/>
              </w:rPr>
            </w:pPr>
          </w:p>
        </w:tc>
        <w:tc>
          <w:tcPr>
            <w:tcW w:w="1018" w:type="pct"/>
            <w:shd w:val="clear" w:color="auto" w:fill="auto"/>
          </w:tcPr>
          <w:p>
            <w:pPr>
              <w:jc w:val="center"/>
              <w:rPr>
                <w:rFonts w:ascii="黑体" w:eastAsia="黑体"/>
                <w:color w:val="auto"/>
                <w:sz w:val="28"/>
              </w:rPr>
            </w:pPr>
          </w:p>
        </w:tc>
        <w:tc>
          <w:tcPr>
            <w:tcW w:w="862" w:type="pct"/>
            <w:shd w:val="clear" w:color="auto" w:fill="auto"/>
          </w:tcPr>
          <w:p>
            <w:pPr>
              <w:jc w:val="center"/>
              <w:rPr>
                <w:rFonts w:ascii="黑体"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pPr>
              <w:jc w:val="center"/>
              <w:rPr>
                <w:rFonts w:ascii="黑体" w:eastAsia="黑体"/>
                <w:color w:val="auto"/>
                <w:sz w:val="28"/>
              </w:rPr>
            </w:pPr>
            <w:r>
              <w:rPr>
                <w:rFonts w:hint="eastAsia" w:ascii="黑体" w:eastAsia="黑体"/>
                <w:color w:val="auto"/>
                <w:sz w:val="28"/>
              </w:rPr>
              <w:t>6</w:t>
            </w:r>
          </w:p>
        </w:tc>
        <w:tc>
          <w:tcPr>
            <w:tcW w:w="1007" w:type="pct"/>
            <w:shd w:val="clear" w:color="auto" w:fill="auto"/>
          </w:tcPr>
          <w:p>
            <w:pPr>
              <w:jc w:val="center"/>
              <w:rPr>
                <w:rFonts w:ascii="黑体" w:eastAsia="黑体"/>
                <w:color w:val="auto"/>
                <w:sz w:val="28"/>
              </w:rPr>
            </w:pPr>
          </w:p>
        </w:tc>
        <w:tc>
          <w:tcPr>
            <w:tcW w:w="1254" w:type="pct"/>
            <w:shd w:val="clear" w:color="auto" w:fill="auto"/>
          </w:tcPr>
          <w:p>
            <w:pPr>
              <w:jc w:val="center"/>
              <w:rPr>
                <w:rFonts w:ascii="黑体" w:eastAsia="黑体"/>
                <w:color w:val="auto"/>
                <w:sz w:val="28"/>
              </w:rPr>
            </w:pPr>
          </w:p>
        </w:tc>
        <w:tc>
          <w:tcPr>
            <w:tcW w:w="1018" w:type="pct"/>
            <w:shd w:val="clear" w:color="auto" w:fill="auto"/>
          </w:tcPr>
          <w:p>
            <w:pPr>
              <w:jc w:val="center"/>
              <w:rPr>
                <w:rFonts w:ascii="黑体" w:eastAsia="黑体"/>
                <w:color w:val="auto"/>
                <w:sz w:val="28"/>
              </w:rPr>
            </w:pPr>
          </w:p>
        </w:tc>
        <w:tc>
          <w:tcPr>
            <w:tcW w:w="862" w:type="pct"/>
            <w:shd w:val="clear" w:color="auto" w:fill="auto"/>
          </w:tcPr>
          <w:p>
            <w:pPr>
              <w:jc w:val="center"/>
              <w:rPr>
                <w:rFonts w:ascii="黑体"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pPr>
              <w:jc w:val="center"/>
              <w:rPr>
                <w:rFonts w:ascii="黑体" w:eastAsia="黑体"/>
                <w:color w:val="auto"/>
                <w:sz w:val="28"/>
              </w:rPr>
            </w:pPr>
            <w:r>
              <w:rPr>
                <w:rFonts w:hint="eastAsia" w:ascii="黑体" w:eastAsia="黑体"/>
                <w:color w:val="auto"/>
                <w:sz w:val="28"/>
              </w:rPr>
              <w:t>7</w:t>
            </w:r>
          </w:p>
        </w:tc>
        <w:tc>
          <w:tcPr>
            <w:tcW w:w="1007" w:type="pct"/>
            <w:shd w:val="clear" w:color="auto" w:fill="auto"/>
          </w:tcPr>
          <w:p>
            <w:pPr>
              <w:jc w:val="center"/>
              <w:rPr>
                <w:rFonts w:ascii="黑体" w:eastAsia="黑体"/>
                <w:color w:val="auto"/>
                <w:sz w:val="28"/>
              </w:rPr>
            </w:pPr>
          </w:p>
        </w:tc>
        <w:tc>
          <w:tcPr>
            <w:tcW w:w="1254" w:type="pct"/>
            <w:shd w:val="clear" w:color="auto" w:fill="auto"/>
          </w:tcPr>
          <w:p>
            <w:pPr>
              <w:jc w:val="center"/>
              <w:rPr>
                <w:rFonts w:ascii="黑体" w:eastAsia="黑体"/>
                <w:color w:val="auto"/>
                <w:sz w:val="28"/>
              </w:rPr>
            </w:pPr>
          </w:p>
        </w:tc>
        <w:tc>
          <w:tcPr>
            <w:tcW w:w="1018" w:type="pct"/>
            <w:shd w:val="clear" w:color="auto" w:fill="auto"/>
          </w:tcPr>
          <w:p>
            <w:pPr>
              <w:jc w:val="center"/>
              <w:rPr>
                <w:rFonts w:ascii="黑体" w:eastAsia="黑体"/>
                <w:color w:val="auto"/>
                <w:sz w:val="28"/>
              </w:rPr>
            </w:pPr>
          </w:p>
        </w:tc>
        <w:tc>
          <w:tcPr>
            <w:tcW w:w="862" w:type="pct"/>
            <w:shd w:val="clear" w:color="auto" w:fill="auto"/>
          </w:tcPr>
          <w:p>
            <w:pPr>
              <w:jc w:val="center"/>
              <w:rPr>
                <w:rFonts w:ascii="黑体"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pPr>
              <w:jc w:val="center"/>
              <w:rPr>
                <w:rFonts w:hint="eastAsia" w:ascii="黑体" w:eastAsia="黑体"/>
                <w:color w:val="auto"/>
                <w:sz w:val="28"/>
              </w:rPr>
            </w:pPr>
          </w:p>
        </w:tc>
        <w:tc>
          <w:tcPr>
            <w:tcW w:w="1007" w:type="pct"/>
            <w:shd w:val="clear" w:color="auto" w:fill="auto"/>
          </w:tcPr>
          <w:p>
            <w:pPr>
              <w:jc w:val="center"/>
              <w:rPr>
                <w:rFonts w:ascii="黑体" w:eastAsia="黑体"/>
                <w:color w:val="auto"/>
                <w:sz w:val="28"/>
              </w:rPr>
            </w:pPr>
          </w:p>
        </w:tc>
        <w:tc>
          <w:tcPr>
            <w:tcW w:w="1254" w:type="pct"/>
            <w:shd w:val="clear" w:color="auto" w:fill="auto"/>
          </w:tcPr>
          <w:p>
            <w:pPr>
              <w:jc w:val="center"/>
              <w:rPr>
                <w:rFonts w:ascii="黑体" w:eastAsia="黑体"/>
                <w:color w:val="auto"/>
                <w:sz w:val="28"/>
              </w:rPr>
            </w:pPr>
          </w:p>
        </w:tc>
        <w:tc>
          <w:tcPr>
            <w:tcW w:w="1018" w:type="pct"/>
            <w:shd w:val="clear" w:color="auto" w:fill="auto"/>
          </w:tcPr>
          <w:p>
            <w:pPr>
              <w:jc w:val="center"/>
              <w:rPr>
                <w:rFonts w:ascii="黑体" w:eastAsia="黑体"/>
                <w:color w:val="auto"/>
                <w:sz w:val="28"/>
              </w:rPr>
            </w:pPr>
          </w:p>
        </w:tc>
        <w:tc>
          <w:tcPr>
            <w:tcW w:w="862" w:type="pct"/>
            <w:shd w:val="clear" w:color="auto" w:fill="auto"/>
          </w:tcPr>
          <w:p>
            <w:pPr>
              <w:jc w:val="center"/>
              <w:rPr>
                <w:rFonts w:ascii="黑体"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pPr>
              <w:jc w:val="center"/>
              <w:rPr>
                <w:rFonts w:hint="eastAsia" w:ascii="黑体" w:eastAsia="黑体"/>
                <w:color w:val="auto"/>
                <w:sz w:val="28"/>
              </w:rPr>
            </w:pPr>
          </w:p>
        </w:tc>
        <w:tc>
          <w:tcPr>
            <w:tcW w:w="1007" w:type="pct"/>
            <w:shd w:val="clear" w:color="auto" w:fill="auto"/>
          </w:tcPr>
          <w:p>
            <w:pPr>
              <w:jc w:val="center"/>
              <w:rPr>
                <w:rFonts w:ascii="黑体" w:eastAsia="黑体"/>
                <w:color w:val="auto"/>
                <w:sz w:val="28"/>
              </w:rPr>
            </w:pPr>
          </w:p>
        </w:tc>
        <w:tc>
          <w:tcPr>
            <w:tcW w:w="1254" w:type="pct"/>
            <w:shd w:val="clear" w:color="auto" w:fill="auto"/>
          </w:tcPr>
          <w:p>
            <w:pPr>
              <w:jc w:val="center"/>
              <w:rPr>
                <w:rFonts w:ascii="黑体" w:eastAsia="黑体"/>
                <w:color w:val="auto"/>
                <w:sz w:val="28"/>
              </w:rPr>
            </w:pPr>
          </w:p>
        </w:tc>
        <w:tc>
          <w:tcPr>
            <w:tcW w:w="1018" w:type="pct"/>
            <w:shd w:val="clear" w:color="auto" w:fill="auto"/>
          </w:tcPr>
          <w:p>
            <w:pPr>
              <w:jc w:val="center"/>
              <w:rPr>
                <w:rFonts w:ascii="黑体" w:eastAsia="黑体"/>
                <w:color w:val="auto"/>
                <w:sz w:val="28"/>
              </w:rPr>
            </w:pPr>
          </w:p>
        </w:tc>
        <w:tc>
          <w:tcPr>
            <w:tcW w:w="862" w:type="pct"/>
            <w:shd w:val="clear" w:color="auto" w:fill="auto"/>
          </w:tcPr>
          <w:p>
            <w:pPr>
              <w:jc w:val="center"/>
              <w:rPr>
                <w:rFonts w:ascii="黑体" w:eastAsia="黑体"/>
                <w:color w:val="auto"/>
                <w:sz w:val="28"/>
              </w:rPr>
            </w:pPr>
          </w:p>
        </w:tc>
      </w:tr>
    </w:tbl>
    <w:p>
      <w:pPr>
        <w:pStyle w:val="4"/>
        <w:spacing w:line="360" w:lineRule="auto"/>
        <w:ind w:firstLine="240" w:firstLineChars="100"/>
        <w:rPr>
          <w:rFonts w:ascii="仿宋_GB2312" w:hAnsi="宋体" w:eastAsia="仿宋_GB2312"/>
          <w:color w:val="auto"/>
          <w:sz w:val="24"/>
        </w:rPr>
      </w:pPr>
    </w:p>
    <w:p>
      <w:pPr>
        <w:pStyle w:val="4"/>
        <w:spacing w:line="360" w:lineRule="auto"/>
        <w:ind w:firstLine="240" w:firstLineChars="100"/>
        <w:rPr>
          <w:rFonts w:hAnsi="宋体"/>
          <w:b/>
          <w:color w:val="auto"/>
          <w:sz w:val="24"/>
          <w:szCs w:val="24"/>
        </w:rPr>
      </w:pPr>
      <w:r>
        <w:rPr>
          <w:rFonts w:hint="eastAsia" w:ascii="仿宋_GB2312" w:hAnsi="宋体" w:eastAsia="仿宋_GB2312"/>
          <w:color w:val="auto"/>
          <w:sz w:val="24"/>
        </w:rPr>
        <w:t>投标人名称（盖章）：              法定代表人或授权代表签字：</w:t>
      </w:r>
    </w:p>
    <w:p>
      <w:pPr>
        <w:jc w:val="center"/>
        <w:rPr>
          <w:rFonts w:ascii="黑体" w:eastAsia="黑体"/>
          <w:color w:val="auto"/>
          <w:sz w:val="30"/>
        </w:rPr>
      </w:pPr>
    </w:p>
    <w:p>
      <w:pPr>
        <w:pStyle w:val="4"/>
        <w:spacing w:line="360" w:lineRule="auto"/>
        <w:ind w:left="708" w:leftChars="115" w:hanging="467" w:hangingChars="194"/>
        <w:rPr>
          <w:rFonts w:hAnsi="宋体"/>
          <w:color w:val="auto"/>
          <w:sz w:val="24"/>
        </w:rPr>
      </w:pPr>
      <w:r>
        <w:rPr>
          <w:rFonts w:hint="eastAsia" w:hAnsi="宋体"/>
          <w:b/>
          <w:color w:val="auto"/>
          <w:sz w:val="24"/>
        </w:rPr>
        <w:t>注：</w:t>
      </w:r>
      <w:r>
        <w:rPr>
          <w:rFonts w:hint="eastAsia" w:hAnsi="宋体"/>
          <w:color w:val="auto"/>
          <w:sz w:val="24"/>
        </w:rPr>
        <w:t>附件提供有效业绩合同复印件，原件请带到现场</w:t>
      </w:r>
      <w:r>
        <w:rPr>
          <w:rFonts w:hint="eastAsia" w:hAnsi="宋体"/>
          <w:color w:val="auto"/>
          <w:sz w:val="24"/>
          <w:lang w:val="en-US" w:eastAsia="zh-CN"/>
        </w:rPr>
        <w:t>以</w:t>
      </w:r>
      <w:r>
        <w:rPr>
          <w:rFonts w:hint="eastAsia" w:hAnsi="宋体"/>
          <w:color w:val="auto"/>
          <w:sz w:val="24"/>
        </w:rPr>
        <w:t>备复核。</w:t>
      </w:r>
    </w:p>
    <w:p>
      <w:pPr>
        <w:pStyle w:val="4"/>
        <w:spacing w:line="360" w:lineRule="auto"/>
        <w:ind w:left="661" w:leftChars="315"/>
        <w:rPr>
          <w:rFonts w:hAnsi="宋体"/>
          <w:color w:val="auto"/>
          <w:sz w:val="24"/>
        </w:rPr>
      </w:pPr>
    </w:p>
    <w:p>
      <w:pPr>
        <w:pStyle w:val="4"/>
        <w:spacing w:line="360" w:lineRule="auto"/>
        <w:ind w:left="661" w:leftChars="315"/>
        <w:rPr>
          <w:rFonts w:hAnsi="宋体"/>
          <w:color w:val="auto"/>
          <w:sz w:val="24"/>
        </w:rPr>
      </w:pPr>
    </w:p>
    <w:p>
      <w:pPr>
        <w:pStyle w:val="4"/>
        <w:spacing w:line="360" w:lineRule="auto"/>
        <w:ind w:left="661" w:leftChars="315"/>
        <w:rPr>
          <w:rFonts w:hAnsi="宋体"/>
          <w:color w:val="auto"/>
          <w:sz w:val="24"/>
        </w:rPr>
      </w:pPr>
    </w:p>
    <w:p>
      <w:pPr>
        <w:pStyle w:val="4"/>
        <w:spacing w:line="360" w:lineRule="auto"/>
        <w:ind w:left="661" w:leftChars="315"/>
        <w:rPr>
          <w:rFonts w:hAnsi="宋体"/>
          <w:color w:val="auto"/>
          <w:sz w:val="24"/>
        </w:rPr>
      </w:pPr>
    </w:p>
    <w:p>
      <w:pPr>
        <w:pStyle w:val="4"/>
        <w:spacing w:line="360" w:lineRule="auto"/>
        <w:ind w:left="661" w:leftChars="315"/>
        <w:rPr>
          <w:rFonts w:hAnsi="宋体"/>
          <w:color w:val="auto"/>
          <w:sz w:val="24"/>
        </w:rPr>
      </w:pPr>
    </w:p>
    <w:p>
      <w:pPr>
        <w:pStyle w:val="4"/>
        <w:spacing w:line="360" w:lineRule="auto"/>
        <w:ind w:left="661" w:leftChars="315"/>
        <w:rPr>
          <w:rFonts w:hAnsi="宋体"/>
          <w:color w:val="auto"/>
          <w:sz w:val="24"/>
        </w:rPr>
      </w:pPr>
    </w:p>
    <w:p>
      <w:pPr>
        <w:pStyle w:val="4"/>
        <w:spacing w:line="360" w:lineRule="auto"/>
        <w:ind w:left="661" w:leftChars="315"/>
        <w:rPr>
          <w:rFonts w:hAnsi="宋体"/>
          <w:color w:val="auto"/>
          <w:sz w:val="24"/>
        </w:rPr>
      </w:pPr>
    </w:p>
    <w:p>
      <w:pPr>
        <w:pStyle w:val="4"/>
        <w:spacing w:line="360" w:lineRule="auto"/>
        <w:ind w:left="661" w:leftChars="315"/>
        <w:rPr>
          <w:rFonts w:hAnsi="宋体"/>
          <w:color w:val="auto"/>
          <w:sz w:val="24"/>
        </w:rPr>
      </w:pPr>
    </w:p>
    <w:p>
      <w:pPr>
        <w:pStyle w:val="4"/>
        <w:spacing w:line="360" w:lineRule="auto"/>
        <w:ind w:left="661" w:leftChars="315"/>
        <w:rPr>
          <w:rFonts w:hAnsi="宋体"/>
          <w:color w:val="auto"/>
          <w:sz w:val="24"/>
        </w:rPr>
      </w:pPr>
    </w:p>
    <w:p>
      <w:pPr>
        <w:pStyle w:val="4"/>
        <w:spacing w:line="360" w:lineRule="auto"/>
        <w:ind w:left="661" w:leftChars="315"/>
        <w:rPr>
          <w:rFonts w:hAnsi="宋体"/>
          <w:color w:val="auto"/>
          <w:sz w:val="24"/>
        </w:rPr>
      </w:pP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附件五：</w:t>
      </w:r>
    </w:p>
    <w:p>
      <w:pPr>
        <w:jc w:val="center"/>
        <w:rPr>
          <w:rFonts w:eastAsia="黑体"/>
          <w:b/>
          <w:bCs/>
          <w:color w:val="auto"/>
          <w:sz w:val="36"/>
        </w:rPr>
      </w:pPr>
      <w:r>
        <w:rPr>
          <w:rFonts w:hint="eastAsia" w:eastAsia="黑体"/>
          <w:b/>
          <w:bCs/>
          <w:color w:val="auto"/>
          <w:sz w:val="36"/>
        </w:rPr>
        <w:t>在线资质文件预审目录</w:t>
      </w:r>
    </w:p>
    <w:p>
      <w:pPr>
        <w:jc w:val="left"/>
        <w:rPr>
          <w:rFonts w:eastAsia="黑体"/>
          <w:b/>
          <w:bCs/>
          <w:color w:val="auto"/>
          <w:sz w:val="24"/>
        </w:rPr>
      </w:pPr>
      <w:r>
        <w:rPr>
          <w:rFonts w:hint="eastAsia" w:eastAsia="黑体"/>
          <w:b/>
          <w:bCs/>
          <w:color w:val="auto"/>
          <w:sz w:val="24"/>
        </w:rPr>
        <w:t>投标人名称（盖章）：</w:t>
      </w:r>
    </w:p>
    <w:tbl>
      <w:tblPr>
        <w:tblStyle w:val="9"/>
        <w:tblW w:w="93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37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黑体"/>
                <w:b/>
                <w:bCs/>
                <w:color w:val="auto"/>
                <w:sz w:val="28"/>
              </w:rPr>
            </w:pPr>
            <w:r>
              <w:rPr>
                <w:rFonts w:hint="eastAsia" w:eastAsia="黑体"/>
                <w:b/>
                <w:bCs/>
                <w:color w:val="auto"/>
                <w:sz w:val="28"/>
              </w:rPr>
              <w:t>序号</w:t>
            </w:r>
          </w:p>
        </w:tc>
        <w:tc>
          <w:tcPr>
            <w:tcW w:w="6378" w:type="dxa"/>
          </w:tcPr>
          <w:p>
            <w:pPr>
              <w:jc w:val="center"/>
              <w:rPr>
                <w:rFonts w:eastAsia="黑体"/>
                <w:b/>
                <w:bCs/>
                <w:color w:val="auto"/>
                <w:sz w:val="28"/>
              </w:rPr>
            </w:pPr>
            <w:r>
              <w:rPr>
                <w:rFonts w:hint="eastAsia" w:eastAsia="黑体"/>
                <w:b/>
                <w:bCs/>
                <w:color w:val="auto"/>
                <w:sz w:val="28"/>
              </w:rPr>
              <w:t>文件名称</w:t>
            </w:r>
          </w:p>
        </w:tc>
        <w:tc>
          <w:tcPr>
            <w:tcW w:w="1843" w:type="dxa"/>
          </w:tcPr>
          <w:p>
            <w:pPr>
              <w:jc w:val="center"/>
              <w:rPr>
                <w:rFonts w:eastAsia="黑体"/>
                <w:b/>
                <w:bCs/>
                <w:color w:val="auto"/>
                <w:sz w:val="28"/>
              </w:rPr>
            </w:pPr>
            <w:r>
              <w:rPr>
                <w:rFonts w:hint="eastAsia" w:eastAsia="黑体"/>
                <w:b/>
                <w:bCs/>
                <w:color w:val="auto"/>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黑体" w:hAnsi="黑体" w:eastAsia="黑体"/>
                <w:bCs/>
                <w:color w:val="auto"/>
                <w:szCs w:val="21"/>
              </w:rPr>
            </w:pPr>
            <w:r>
              <w:rPr>
                <w:rFonts w:hint="eastAsia" w:ascii="黑体" w:hAnsi="黑体" w:eastAsia="黑体"/>
                <w:bCs/>
                <w:color w:val="auto"/>
                <w:szCs w:val="21"/>
              </w:rPr>
              <w:t>1</w:t>
            </w:r>
          </w:p>
        </w:tc>
        <w:tc>
          <w:tcPr>
            <w:tcW w:w="6378" w:type="dxa"/>
            <w:vAlign w:val="center"/>
          </w:tcPr>
          <w:p>
            <w:pPr>
              <w:jc w:val="left"/>
              <w:rPr>
                <w:rFonts w:ascii="黑体" w:hAnsi="黑体" w:eastAsia="黑体"/>
                <w:bCs/>
                <w:color w:val="auto"/>
                <w:szCs w:val="21"/>
              </w:rPr>
            </w:pPr>
            <w:r>
              <w:rPr>
                <w:rFonts w:hint="eastAsia" w:ascii="黑体" w:hAnsi="黑体" w:eastAsia="黑体"/>
                <w:color w:val="auto"/>
                <w:szCs w:val="21"/>
              </w:rPr>
              <w:t>统一社会信用代码的三证合一的营业执照副本</w:t>
            </w:r>
          </w:p>
        </w:tc>
        <w:tc>
          <w:tcPr>
            <w:tcW w:w="1843" w:type="dxa"/>
          </w:tcPr>
          <w:p>
            <w:pPr>
              <w:jc w:val="center"/>
              <w:rPr>
                <w:rFonts w:eastAsia="黑体"/>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黑体" w:hAnsi="黑体" w:eastAsia="黑体"/>
                <w:bCs/>
                <w:color w:val="auto"/>
                <w:szCs w:val="21"/>
              </w:rPr>
            </w:pPr>
            <w:r>
              <w:rPr>
                <w:rFonts w:ascii="黑体" w:hAnsi="黑体" w:eastAsia="黑体"/>
                <w:bCs/>
                <w:color w:val="auto"/>
                <w:szCs w:val="21"/>
              </w:rPr>
              <w:t>2</w:t>
            </w:r>
          </w:p>
        </w:tc>
        <w:tc>
          <w:tcPr>
            <w:tcW w:w="6378" w:type="dxa"/>
            <w:vAlign w:val="center"/>
          </w:tcPr>
          <w:p>
            <w:pPr>
              <w:jc w:val="left"/>
              <w:rPr>
                <w:rFonts w:ascii="黑体" w:hAnsi="黑体" w:eastAsia="黑体"/>
                <w:bCs/>
                <w:color w:val="auto"/>
                <w:szCs w:val="21"/>
              </w:rPr>
            </w:pPr>
            <w:r>
              <w:rPr>
                <w:rFonts w:hint="eastAsia" w:ascii="黑体" w:hAnsi="黑体" w:eastAsia="黑体"/>
                <w:color w:val="auto"/>
                <w:szCs w:val="21"/>
              </w:rPr>
              <w:t>信用证明：银行资信证明、信用中国/信用山东无违法记录证明</w:t>
            </w:r>
          </w:p>
        </w:tc>
        <w:tc>
          <w:tcPr>
            <w:tcW w:w="1843" w:type="dxa"/>
          </w:tcPr>
          <w:p>
            <w:pPr>
              <w:jc w:val="center"/>
              <w:rPr>
                <w:rFonts w:eastAsia="黑体"/>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黑体" w:hAnsi="黑体" w:eastAsia="黑体"/>
                <w:bCs/>
                <w:color w:val="auto"/>
                <w:szCs w:val="21"/>
              </w:rPr>
            </w:pPr>
            <w:r>
              <w:rPr>
                <w:rFonts w:hint="eastAsia" w:ascii="黑体" w:hAnsi="黑体" w:eastAsia="黑体"/>
                <w:bCs/>
                <w:color w:val="auto"/>
                <w:szCs w:val="21"/>
              </w:rPr>
              <w:t>3</w:t>
            </w:r>
          </w:p>
        </w:tc>
        <w:tc>
          <w:tcPr>
            <w:tcW w:w="6378" w:type="dxa"/>
            <w:vAlign w:val="center"/>
          </w:tcPr>
          <w:p>
            <w:pPr>
              <w:jc w:val="left"/>
              <w:rPr>
                <w:rFonts w:ascii="黑体" w:hAnsi="黑体" w:eastAsia="黑体"/>
                <w:color w:val="auto"/>
                <w:szCs w:val="21"/>
              </w:rPr>
            </w:pPr>
            <w:r>
              <w:rPr>
                <w:rFonts w:hint="eastAsia" w:ascii="黑体" w:hAnsi="黑体" w:eastAsia="黑体"/>
                <w:color w:val="auto"/>
                <w:szCs w:val="21"/>
              </w:rPr>
              <w:t>企业对外担保说明（写明贵单位对外有无对外担保和质押业务，需加盖公章）</w:t>
            </w:r>
          </w:p>
        </w:tc>
        <w:tc>
          <w:tcPr>
            <w:tcW w:w="1843" w:type="dxa"/>
          </w:tcPr>
          <w:p>
            <w:pPr>
              <w:jc w:val="center"/>
              <w:rPr>
                <w:rFonts w:eastAsia="黑体"/>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黑体" w:hAnsi="黑体" w:eastAsia="黑体"/>
                <w:bCs/>
                <w:color w:val="auto"/>
                <w:szCs w:val="21"/>
              </w:rPr>
            </w:pPr>
            <w:r>
              <w:rPr>
                <w:rFonts w:hint="eastAsia" w:ascii="黑体" w:hAnsi="黑体" w:eastAsia="黑体"/>
                <w:bCs/>
                <w:color w:val="auto"/>
                <w:szCs w:val="21"/>
              </w:rPr>
              <w:t>4</w:t>
            </w:r>
          </w:p>
        </w:tc>
        <w:tc>
          <w:tcPr>
            <w:tcW w:w="6378" w:type="dxa"/>
            <w:vAlign w:val="center"/>
          </w:tcPr>
          <w:p>
            <w:pPr>
              <w:jc w:val="left"/>
              <w:rPr>
                <w:rFonts w:ascii="黑体" w:hAnsi="黑体" w:eastAsia="黑体"/>
                <w:bCs/>
                <w:color w:val="auto"/>
                <w:szCs w:val="21"/>
              </w:rPr>
            </w:pPr>
            <w:r>
              <w:rPr>
                <w:rFonts w:hint="eastAsia" w:ascii="黑体" w:hAnsi="黑体" w:eastAsia="黑体"/>
                <w:bCs/>
                <w:color w:val="auto"/>
                <w:szCs w:val="21"/>
              </w:rPr>
              <w:t>法人授权委托书及身份证</w:t>
            </w:r>
          </w:p>
        </w:tc>
        <w:tc>
          <w:tcPr>
            <w:tcW w:w="1843" w:type="dxa"/>
          </w:tcPr>
          <w:p>
            <w:pPr>
              <w:jc w:val="center"/>
              <w:rPr>
                <w:rFonts w:eastAsia="黑体"/>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黑体" w:hAnsi="黑体" w:eastAsia="黑体"/>
                <w:bCs/>
                <w:color w:val="auto"/>
                <w:szCs w:val="21"/>
              </w:rPr>
            </w:pPr>
            <w:r>
              <w:rPr>
                <w:rFonts w:hint="eastAsia" w:ascii="黑体" w:hAnsi="黑体" w:eastAsia="黑体"/>
                <w:bCs/>
                <w:color w:val="auto"/>
                <w:szCs w:val="21"/>
              </w:rPr>
              <w:t>5</w:t>
            </w:r>
          </w:p>
        </w:tc>
        <w:tc>
          <w:tcPr>
            <w:tcW w:w="6378" w:type="dxa"/>
            <w:vAlign w:val="center"/>
          </w:tcPr>
          <w:p>
            <w:pPr>
              <w:jc w:val="left"/>
              <w:rPr>
                <w:rFonts w:ascii="黑体" w:hAnsi="黑体" w:eastAsia="黑体"/>
                <w:bCs/>
                <w:color w:val="auto"/>
                <w:szCs w:val="21"/>
              </w:rPr>
            </w:pPr>
            <w:r>
              <w:rPr>
                <w:rFonts w:hint="eastAsia" w:ascii="黑体" w:hAnsi="黑体" w:eastAsia="黑体"/>
                <w:bCs/>
                <w:color w:val="auto"/>
                <w:szCs w:val="21"/>
              </w:rPr>
              <w:t>近三年的公司财务报表</w:t>
            </w:r>
          </w:p>
        </w:tc>
        <w:tc>
          <w:tcPr>
            <w:tcW w:w="1843" w:type="dxa"/>
          </w:tcPr>
          <w:p>
            <w:pPr>
              <w:jc w:val="center"/>
              <w:rPr>
                <w:rFonts w:eastAsia="黑体"/>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黑体" w:hAnsi="黑体" w:eastAsia="黑体"/>
                <w:bCs/>
                <w:color w:val="auto"/>
                <w:szCs w:val="21"/>
              </w:rPr>
            </w:pPr>
            <w:r>
              <w:rPr>
                <w:rFonts w:hint="eastAsia" w:ascii="黑体" w:hAnsi="黑体" w:eastAsia="黑体"/>
                <w:bCs/>
                <w:color w:val="auto"/>
                <w:szCs w:val="21"/>
              </w:rPr>
              <w:t>6</w:t>
            </w:r>
          </w:p>
        </w:tc>
        <w:tc>
          <w:tcPr>
            <w:tcW w:w="6378" w:type="dxa"/>
            <w:vAlign w:val="center"/>
          </w:tcPr>
          <w:p>
            <w:pPr>
              <w:jc w:val="left"/>
              <w:rPr>
                <w:rFonts w:ascii="黑体" w:hAnsi="黑体" w:eastAsia="黑体"/>
                <w:bCs/>
                <w:color w:val="auto"/>
                <w:szCs w:val="21"/>
              </w:rPr>
            </w:pPr>
            <w:r>
              <w:rPr>
                <w:rFonts w:hint="eastAsia" w:ascii="黑体" w:hAnsi="黑体" w:eastAsia="黑体"/>
                <w:bCs/>
                <w:color w:val="auto"/>
                <w:szCs w:val="21"/>
              </w:rPr>
              <w:t>保证金缴纳凭证</w:t>
            </w:r>
          </w:p>
        </w:tc>
        <w:tc>
          <w:tcPr>
            <w:tcW w:w="1843" w:type="dxa"/>
          </w:tcPr>
          <w:p>
            <w:pPr>
              <w:jc w:val="center"/>
              <w:rPr>
                <w:rFonts w:eastAsia="黑体"/>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黑体" w:hAnsi="黑体" w:eastAsia="黑体"/>
                <w:bCs/>
                <w:color w:val="auto"/>
                <w:szCs w:val="21"/>
              </w:rPr>
            </w:pPr>
            <w:r>
              <w:rPr>
                <w:rFonts w:hint="eastAsia" w:ascii="黑体" w:hAnsi="黑体" w:eastAsia="黑体"/>
                <w:bCs/>
                <w:color w:val="auto"/>
                <w:szCs w:val="21"/>
              </w:rPr>
              <w:t>7</w:t>
            </w:r>
          </w:p>
        </w:tc>
        <w:tc>
          <w:tcPr>
            <w:tcW w:w="6378" w:type="dxa"/>
            <w:vAlign w:val="center"/>
          </w:tcPr>
          <w:p>
            <w:pPr>
              <w:jc w:val="left"/>
              <w:rPr>
                <w:rFonts w:ascii="黑体" w:hAnsi="黑体" w:eastAsia="黑体"/>
                <w:bCs/>
                <w:color w:val="auto"/>
                <w:szCs w:val="21"/>
              </w:rPr>
            </w:pPr>
            <w:r>
              <w:rPr>
                <w:rFonts w:hint="eastAsia" w:ascii="黑体" w:hAnsi="黑体" w:eastAsia="黑体"/>
                <w:bCs/>
                <w:color w:val="auto"/>
                <w:szCs w:val="21"/>
              </w:rPr>
              <w:t>企业情况一览表（加盖公章；后附投标</w:t>
            </w:r>
            <w:r>
              <w:rPr>
                <w:rFonts w:hint="eastAsia" w:ascii="黑体" w:hAnsi="黑体" w:eastAsia="黑体"/>
                <w:bCs/>
                <w:color w:val="auto"/>
                <w:szCs w:val="21"/>
                <w:lang w:val="en-US" w:eastAsia="zh-CN"/>
              </w:rPr>
              <w:t>单位</w:t>
            </w:r>
            <w:r>
              <w:rPr>
                <w:rFonts w:hint="eastAsia" w:ascii="黑体" w:hAnsi="黑体" w:eastAsia="黑体"/>
                <w:bCs/>
                <w:color w:val="auto"/>
                <w:szCs w:val="21"/>
              </w:rPr>
              <w:t>正式在职人员证明及工作经历</w:t>
            </w:r>
            <w:r>
              <w:rPr>
                <w:rFonts w:hint="eastAsia" w:ascii="黑体" w:hAnsi="黑体" w:eastAsia="黑体"/>
                <w:bCs/>
                <w:color w:val="auto"/>
                <w:szCs w:val="21"/>
                <w:lang w:eastAsia="zh-CN"/>
              </w:rPr>
              <w:t>、</w:t>
            </w:r>
            <w:r>
              <w:rPr>
                <w:rFonts w:hint="eastAsia" w:ascii="黑体" w:hAnsi="黑体" w:eastAsia="黑体"/>
                <w:bCs/>
                <w:color w:val="auto"/>
                <w:szCs w:val="21"/>
              </w:rPr>
              <w:t>缴纳社保证明等。）</w:t>
            </w:r>
          </w:p>
        </w:tc>
        <w:tc>
          <w:tcPr>
            <w:tcW w:w="1843" w:type="dxa"/>
          </w:tcPr>
          <w:p>
            <w:pPr>
              <w:jc w:val="center"/>
              <w:rPr>
                <w:rFonts w:eastAsia="黑体"/>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黑体" w:hAnsi="黑体" w:eastAsia="黑体"/>
                <w:bCs/>
                <w:color w:val="auto"/>
                <w:szCs w:val="21"/>
              </w:rPr>
            </w:pPr>
            <w:r>
              <w:rPr>
                <w:rFonts w:hint="eastAsia" w:ascii="黑体" w:hAnsi="黑体" w:eastAsia="黑体"/>
                <w:bCs/>
                <w:color w:val="auto"/>
                <w:szCs w:val="21"/>
              </w:rPr>
              <w:t>8</w:t>
            </w:r>
          </w:p>
        </w:tc>
        <w:tc>
          <w:tcPr>
            <w:tcW w:w="6378" w:type="dxa"/>
            <w:vAlign w:val="center"/>
          </w:tcPr>
          <w:p>
            <w:pPr>
              <w:jc w:val="left"/>
              <w:rPr>
                <w:rFonts w:ascii="黑体" w:hAnsi="黑体" w:eastAsia="黑体"/>
                <w:bCs/>
                <w:color w:val="auto"/>
                <w:szCs w:val="21"/>
              </w:rPr>
            </w:pPr>
            <w:r>
              <w:rPr>
                <w:rFonts w:hint="eastAsia" w:ascii="黑体" w:hAnsi="黑体" w:eastAsia="黑体"/>
                <w:bCs/>
                <w:color w:val="auto"/>
                <w:szCs w:val="21"/>
              </w:rPr>
              <w:t>企业业绩一览表（投标人在近年</w:t>
            </w:r>
            <w:r>
              <w:rPr>
                <w:rFonts w:hint="eastAsia" w:ascii="黑体" w:hAnsi="黑体" w:eastAsia="黑体"/>
                <w:bCs/>
                <w:color w:val="auto"/>
                <w:szCs w:val="21"/>
                <w:lang w:val="en-US" w:eastAsia="zh-CN"/>
              </w:rPr>
              <w:t>内</w:t>
            </w:r>
            <w:r>
              <w:rPr>
                <w:rFonts w:hint="eastAsia" w:ascii="黑体" w:hAnsi="黑体" w:eastAsia="黑体"/>
                <w:bCs/>
                <w:color w:val="auto"/>
                <w:szCs w:val="21"/>
              </w:rPr>
              <w:t>为</w:t>
            </w:r>
            <w:r>
              <w:rPr>
                <w:rFonts w:hint="eastAsia" w:ascii="黑体" w:hAnsi="黑体" w:eastAsia="黑体"/>
                <w:bCs/>
                <w:color w:val="auto"/>
                <w:szCs w:val="21"/>
                <w:lang w:val="en-US" w:eastAsia="zh-CN"/>
              </w:rPr>
              <w:t>汽车品牌</w:t>
            </w:r>
            <w:r>
              <w:rPr>
                <w:rFonts w:hint="eastAsia" w:ascii="黑体" w:hAnsi="黑体" w:eastAsia="黑体"/>
                <w:bCs/>
                <w:color w:val="auto"/>
                <w:szCs w:val="21"/>
              </w:rPr>
              <w:t>企业提供</w:t>
            </w:r>
            <w:r>
              <w:rPr>
                <w:rFonts w:hint="eastAsia" w:ascii="黑体" w:hAnsi="黑体" w:eastAsia="黑体"/>
                <w:bCs/>
                <w:color w:val="auto"/>
                <w:szCs w:val="21"/>
                <w:lang w:val="en-US" w:eastAsia="zh-CN"/>
              </w:rPr>
              <w:t>相关服务</w:t>
            </w:r>
            <w:r>
              <w:rPr>
                <w:rFonts w:hint="eastAsia" w:ascii="黑体" w:hAnsi="黑体" w:eastAsia="黑体"/>
                <w:bCs/>
                <w:color w:val="auto"/>
                <w:szCs w:val="21"/>
              </w:rPr>
              <w:t>的业绩证明材料）</w:t>
            </w:r>
          </w:p>
        </w:tc>
        <w:tc>
          <w:tcPr>
            <w:tcW w:w="1843" w:type="dxa"/>
          </w:tcPr>
          <w:p>
            <w:pPr>
              <w:jc w:val="center"/>
              <w:rPr>
                <w:rFonts w:eastAsia="黑体"/>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黑体" w:hAnsi="黑体" w:eastAsia="黑体"/>
                <w:bCs/>
                <w:color w:val="auto"/>
                <w:szCs w:val="21"/>
              </w:rPr>
            </w:pPr>
            <w:r>
              <w:rPr>
                <w:rFonts w:hint="eastAsia" w:ascii="黑体" w:hAnsi="黑体" w:eastAsia="黑体"/>
                <w:bCs/>
                <w:color w:val="auto"/>
                <w:szCs w:val="21"/>
              </w:rPr>
              <w:t>9</w:t>
            </w:r>
          </w:p>
        </w:tc>
        <w:tc>
          <w:tcPr>
            <w:tcW w:w="6378" w:type="dxa"/>
            <w:vAlign w:val="center"/>
          </w:tcPr>
          <w:p>
            <w:pPr>
              <w:jc w:val="left"/>
              <w:rPr>
                <w:rFonts w:ascii="黑体" w:hAnsi="黑体" w:eastAsia="黑体"/>
                <w:bCs/>
                <w:color w:val="auto"/>
                <w:szCs w:val="21"/>
              </w:rPr>
            </w:pPr>
            <w:r>
              <w:rPr>
                <w:rFonts w:hint="eastAsia" w:ascii="黑体" w:hAnsi="黑体" w:eastAsia="黑体"/>
                <w:bCs/>
                <w:color w:val="auto"/>
                <w:szCs w:val="21"/>
              </w:rPr>
              <w:t>企业最近半年完税证明、年度纳税信用评价信息</w:t>
            </w:r>
          </w:p>
        </w:tc>
        <w:tc>
          <w:tcPr>
            <w:tcW w:w="1843" w:type="dxa"/>
          </w:tcPr>
          <w:p>
            <w:pPr>
              <w:jc w:val="center"/>
              <w:rPr>
                <w:rFonts w:eastAsia="黑体"/>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ascii="黑体" w:hAnsi="黑体" w:eastAsia="黑体"/>
                <w:bCs/>
                <w:color w:val="auto"/>
                <w:szCs w:val="21"/>
                <w:lang w:val="en-US" w:eastAsia="zh-CN"/>
              </w:rPr>
            </w:pPr>
            <w:r>
              <w:rPr>
                <w:rFonts w:hint="eastAsia" w:ascii="黑体" w:hAnsi="黑体" w:eastAsia="黑体"/>
                <w:bCs/>
                <w:color w:val="auto"/>
                <w:szCs w:val="21"/>
                <w:lang w:val="en-US" w:eastAsia="zh-CN"/>
              </w:rPr>
              <w:t>10</w:t>
            </w:r>
          </w:p>
        </w:tc>
        <w:tc>
          <w:tcPr>
            <w:tcW w:w="6378" w:type="dxa"/>
            <w:vAlign w:val="center"/>
          </w:tcPr>
          <w:p>
            <w:pPr>
              <w:jc w:val="left"/>
              <w:rPr>
                <w:rFonts w:hint="default" w:ascii="黑体" w:hAnsi="黑体" w:eastAsia="黑体"/>
                <w:bCs/>
                <w:color w:val="auto"/>
                <w:szCs w:val="21"/>
                <w:lang w:val="en-US" w:eastAsia="zh-CN"/>
              </w:rPr>
            </w:pPr>
            <w:r>
              <w:rPr>
                <w:rFonts w:hint="eastAsia" w:ascii="黑体" w:hAnsi="黑体" w:eastAsia="黑体"/>
                <w:bCs/>
                <w:color w:val="auto"/>
                <w:szCs w:val="21"/>
                <w:lang w:val="en-US" w:eastAsia="zh-CN"/>
              </w:rPr>
              <w:t>客商信息表</w:t>
            </w:r>
          </w:p>
        </w:tc>
        <w:tc>
          <w:tcPr>
            <w:tcW w:w="1843" w:type="dxa"/>
          </w:tcPr>
          <w:p>
            <w:pPr>
              <w:jc w:val="center"/>
              <w:rPr>
                <w:rFonts w:eastAsia="黑体"/>
                <w:b/>
                <w:bCs/>
                <w:color w:val="auto"/>
                <w:sz w:val="28"/>
              </w:rPr>
            </w:pPr>
          </w:p>
        </w:tc>
      </w:tr>
    </w:tbl>
    <w:p>
      <w:pPr>
        <w:rPr>
          <w:rFonts w:eastAsia="黑体"/>
          <w:b/>
          <w:bCs/>
          <w:color w:val="auto"/>
          <w:sz w:val="28"/>
        </w:rPr>
      </w:pPr>
    </w:p>
    <w:p>
      <w:pPr>
        <w:jc w:val="center"/>
        <w:rPr>
          <w:rFonts w:eastAsia="黑体"/>
          <w:b/>
          <w:bCs/>
          <w:color w:val="auto"/>
          <w:sz w:val="28"/>
        </w:rPr>
      </w:pPr>
      <w:r>
        <w:rPr>
          <w:rFonts w:hint="eastAsia" w:eastAsia="黑体"/>
          <w:b/>
          <w:bCs/>
          <w:color w:val="auto"/>
          <w:sz w:val="28"/>
        </w:rPr>
        <w:t xml:space="preserve"> </w:t>
      </w:r>
      <w:r>
        <w:rPr>
          <w:rFonts w:eastAsia="黑体"/>
          <w:b/>
          <w:bCs/>
          <w:color w:val="auto"/>
          <w:sz w:val="28"/>
        </w:rPr>
        <w:t xml:space="preserve">                        </w:t>
      </w:r>
    </w:p>
    <w:p>
      <w:pPr>
        <w:pStyle w:val="4"/>
        <w:spacing w:line="360" w:lineRule="auto"/>
        <w:rPr>
          <w:rFonts w:hint="eastAsia" w:hAnsi="宋体"/>
          <w:color w:val="auto"/>
          <w:sz w:val="24"/>
          <w:szCs w:val="24"/>
        </w:rPr>
      </w:pPr>
      <w:r>
        <w:rPr>
          <w:rFonts w:hint="eastAsia" w:hAnsi="宋体"/>
          <w:bCs/>
          <w:color w:val="auto"/>
          <w:sz w:val="24"/>
          <w:szCs w:val="24"/>
        </w:rPr>
        <w:t>注：</w:t>
      </w:r>
      <w:r>
        <w:rPr>
          <w:rFonts w:hint="eastAsia" w:hAnsi="宋体"/>
          <w:color w:val="auto"/>
          <w:sz w:val="24"/>
          <w:szCs w:val="24"/>
        </w:rPr>
        <w:t>以上资料缺一不可，投标方需提供高清扫描文件，未能提供或资料不全的投标单位为无效投标，认定无效投标的招标方将不再提供</w:t>
      </w:r>
      <w:r>
        <w:rPr>
          <w:rFonts w:hint="eastAsia" w:hAnsi="宋体"/>
          <w:color w:val="auto"/>
          <w:sz w:val="24"/>
          <w:szCs w:val="24"/>
          <w:lang w:val="en-US" w:eastAsia="zh-CN"/>
        </w:rPr>
        <w:t>报价</w:t>
      </w:r>
      <w:r>
        <w:rPr>
          <w:rFonts w:hint="eastAsia" w:hAnsi="宋体"/>
          <w:color w:val="auto"/>
          <w:sz w:val="24"/>
          <w:szCs w:val="24"/>
        </w:rPr>
        <w:t>清单，开标时现场将核验原件，如有弄虚作假行为一经发现，扣除履约保证金，并纳入供应商黑名单。</w:t>
      </w:r>
    </w:p>
    <w:p>
      <w:pPr>
        <w:pStyle w:val="4"/>
        <w:spacing w:line="360" w:lineRule="auto"/>
        <w:rPr>
          <w:rFonts w:hint="eastAsia" w:hAnsi="宋体"/>
          <w:color w:val="auto"/>
          <w:sz w:val="24"/>
          <w:szCs w:val="24"/>
        </w:rPr>
      </w:pPr>
    </w:p>
    <w:p>
      <w:pPr>
        <w:pStyle w:val="4"/>
        <w:spacing w:line="360" w:lineRule="auto"/>
        <w:rPr>
          <w:rFonts w:hint="eastAsia" w:hAnsi="宋体"/>
          <w:color w:val="auto"/>
          <w:sz w:val="24"/>
          <w:szCs w:val="24"/>
        </w:rPr>
      </w:pPr>
    </w:p>
    <w:p>
      <w:pPr>
        <w:pStyle w:val="4"/>
        <w:spacing w:line="360" w:lineRule="auto"/>
        <w:rPr>
          <w:rFonts w:hint="eastAsia" w:hAnsi="宋体"/>
          <w:color w:val="auto"/>
          <w:sz w:val="24"/>
          <w:szCs w:val="24"/>
        </w:rPr>
      </w:pPr>
    </w:p>
    <w:p>
      <w:pPr>
        <w:pStyle w:val="4"/>
        <w:spacing w:line="360" w:lineRule="auto"/>
        <w:rPr>
          <w:rFonts w:hint="eastAsia" w:hAnsi="宋体"/>
          <w:color w:val="auto"/>
          <w:sz w:val="24"/>
          <w:szCs w:val="24"/>
        </w:rPr>
      </w:pPr>
    </w:p>
    <w:p>
      <w:pPr>
        <w:pStyle w:val="4"/>
        <w:spacing w:line="360" w:lineRule="auto"/>
        <w:rPr>
          <w:rFonts w:hint="eastAsia" w:hAnsi="宋体"/>
          <w:color w:val="auto"/>
          <w:sz w:val="24"/>
          <w:szCs w:val="24"/>
        </w:rPr>
      </w:pP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6DBD8"/>
    <w:multiLevelType w:val="singleLevel"/>
    <w:tmpl w:val="85F6DBD8"/>
    <w:lvl w:ilvl="0" w:tentative="0">
      <w:start w:val="1"/>
      <w:numFmt w:val="chineseCounting"/>
      <w:suff w:val="space"/>
      <w:lvlText w:val="第%1章"/>
      <w:lvlJc w:val="left"/>
      <w:rPr>
        <w:rFonts w:hint="eastAsia"/>
      </w:rPr>
    </w:lvl>
  </w:abstractNum>
  <w:abstractNum w:abstractNumId="1">
    <w:nsid w:val="93EF7067"/>
    <w:multiLevelType w:val="singleLevel"/>
    <w:tmpl w:val="93EF7067"/>
    <w:lvl w:ilvl="0" w:tentative="0">
      <w:start w:val="1"/>
      <w:numFmt w:val="decimal"/>
      <w:suff w:val="nothing"/>
      <w:lvlText w:val="（%1）"/>
      <w:lvlJc w:val="left"/>
    </w:lvl>
  </w:abstractNum>
  <w:abstractNum w:abstractNumId="2">
    <w:nsid w:val="95AA873F"/>
    <w:multiLevelType w:val="singleLevel"/>
    <w:tmpl w:val="95AA873F"/>
    <w:lvl w:ilvl="0" w:tentative="0">
      <w:start w:val="1"/>
      <w:numFmt w:val="decimal"/>
      <w:suff w:val="nothing"/>
      <w:lvlText w:val="（%1）"/>
      <w:lvlJc w:val="left"/>
    </w:lvl>
  </w:abstractNum>
  <w:abstractNum w:abstractNumId="3">
    <w:nsid w:val="B126B827"/>
    <w:multiLevelType w:val="singleLevel"/>
    <w:tmpl w:val="B126B827"/>
    <w:lvl w:ilvl="0" w:tentative="0">
      <w:start w:val="1"/>
      <w:numFmt w:val="decimal"/>
      <w:suff w:val="nothing"/>
      <w:lvlText w:val="%1、"/>
      <w:lvlJc w:val="left"/>
      <w:pPr>
        <w:ind w:left="420"/>
      </w:pPr>
    </w:lvl>
  </w:abstractNum>
  <w:abstractNum w:abstractNumId="4">
    <w:nsid w:val="B44B626D"/>
    <w:multiLevelType w:val="singleLevel"/>
    <w:tmpl w:val="B44B626D"/>
    <w:lvl w:ilvl="0" w:tentative="0">
      <w:start w:val="1"/>
      <w:numFmt w:val="decimal"/>
      <w:suff w:val="nothing"/>
      <w:lvlText w:val="（%1）"/>
      <w:lvlJc w:val="left"/>
      <w:pPr>
        <w:ind w:left="-140"/>
      </w:pPr>
    </w:lvl>
  </w:abstractNum>
  <w:abstractNum w:abstractNumId="5">
    <w:nsid w:val="DD39E8A5"/>
    <w:multiLevelType w:val="singleLevel"/>
    <w:tmpl w:val="DD39E8A5"/>
    <w:lvl w:ilvl="0" w:tentative="0">
      <w:start w:val="1"/>
      <w:numFmt w:val="decimal"/>
      <w:suff w:val="nothing"/>
      <w:lvlText w:val="%1、"/>
      <w:lvlJc w:val="left"/>
      <w:rPr>
        <w:rFonts w:hint="default"/>
        <w:b w:val="0"/>
        <w:bCs w:val="0"/>
        <w:sz w:val="24"/>
        <w:szCs w:val="24"/>
      </w:rPr>
    </w:lvl>
  </w:abstractNum>
  <w:abstractNum w:abstractNumId="6">
    <w:nsid w:val="F4583BDB"/>
    <w:multiLevelType w:val="singleLevel"/>
    <w:tmpl w:val="F4583BDB"/>
    <w:lvl w:ilvl="0" w:tentative="0">
      <w:start w:val="1"/>
      <w:numFmt w:val="chineseCounting"/>
      <w:suff w:val="nothing"/>
      <w:lvlText w:val="%1、"/>
      <w:lvlJc w:val="left"/>
      <w:rPr>
        <w:rFonts w:hint="eastAsia"/>
      </w:rPr>
    </w:lvl>
  </w:abstractNum>
  <w:abstractNum w:abstractNumId="7">
    <w:nsid w:val="F9DDDAE5"/>
    <w:multiLevelType w:val="singleLevel"/>
    <w:tmpl w:val="F9DDDAE5"/>
    <w:lvl w:ilvl="0" w:tentative="0">
      <w:start w:val="1"/>
      <w:numFmt w:val="decimal"/>
      <w:suff w:val="nothing"/>
      <w:lvlText w:val="（%1）"/>
      <w:lvlJc w:val="left"/>
    </w:lvl>
  </w:abstractNum>
  <w:abstractNum w:abstractNumId="8">
    <w:nsid w:val="00000008"/>
    <w:multiLevelType w:val="multilevel"/>
    <w:tmpl w:val="00000008"/>
    <w:lvl w:ilvl="0" w:tentative="0">
      <w:start w:val="1"/>
      <w:numFmt w:val="decimal"/>
      <w:pStyle w:val="21"/>
      <w:lvlText w:val="%1)"/>
      <w:lvlJc w:val="left"/>
      <w:pPr>
        <w:ind w:left="838" w:hanging="420"/>
      </w:pPr>
    </w:lvl>
    <w:lvl w:ilvl="1" w:tentative="0">
      <w:start w:val="1"/>
      <w:numFmt w:val="decimal"/>
      <w:lvlText w:val="%2)"/>
      <w:lvlJc w:val="left"/>
      <w:pPr>
        <w:tabs>
          <w:tab w:val="left" w:pos="1113"/>
        </w:tabs>
        <w:ind w:left="1113" w:hanging="420"/>
      </w:pPr>
      <w:rPr>
        <w:rFonts w:hint="eastAsia"/>
      </w:rPr>
    </w:lvl>
    <w:lvl w:ilvl="2" w:tentative="0">
      <w:start w:val="1"/>
      <w:numFmt w:val="lowerRoman"/>
      <w:lvlText w:val="%3."/>
      <w:lvlJc w:val="right"/>
      <w:pPr>
        <w:ind w:left="1533" w:hanging="420"/>
      </w:pPr>
    </w:lvl>
    <w:lvl w:ilvl="3" w:tentative="0">
      <w:start w:val="1"/>
      <w:numFmt w:val="decimal"/>
      <w:lvlText w:val="%4."/>
      <w:lvlJc w:val="left"/>
      <w:pPr>
        <w:ind w:left="1953" w:hanging="420"/>
      </w:pPr>
    </w:lvl>
    <w:lvl w:ilvl="4" w:tentative="0">
      <w:start w:val="1"/>
      <w:numFmt w:val="lowerLetter"/>
      <w:lvlText w:val="%5)"/>
      <w:lvlJc w:val="left"/>
      <w:pPr>
        <w:ind w:left="2373" w:hanging="420"/>
      </w:pPr>
    </w:lvl>
    <w:lvl w:ilvl="5" w:tentative="0">
      <w:start w:val="1"/>
      <w:numFmt w:val="lowerRoman"/>
      <w:lvlText w:val="%6."/>
      <w:lvlJc w:val="right"/>
      <w:pPr>
        <w:ind w:left="2793" w:hanging="420"/>
      </w:pPr>
    </w:lvl>
    <w:lvl w:ilvl="6" w:tentative="0">
      <w:start w:val="1"/>
      <w:numFmt w:val="decimal"/>
      <w:lvlText w:val="%7."/>
      <w:lvlJc w:val="left"/>
      <w:pPr>
        <w:ind w:left="3213" w:hanging="420"/>
      </w:pPr>
    </w:lvl>
    <w:lvl w:ilvl="7" w:tentative="0">
      <w:start w:val="1"/>
      <w:numFmt w:val="lowerLetter"/>
      <w:lvlText w:val="%8)"/>
      <w:lvlJc w:val="left"/>
      <w:pPr>
        <w:ind w:left="3633" w:hanging="420"/>
      </w:pPr>
    </w:lvl>
    <w:lvl w:ilvl="8" w:tentative="0">
      <w:start w:val="1"/>
      <w:numFmt w:val="lowerRoman"/>
      <w:lvlText w:val="%9."/>
      <w:lvlJc w:val="right"/>
      <w:pPr>
        <w:ind w:left="4053" w:hanging="420"/>
      </w:pPr>
    </w:lvl>
  </w:abstractNum>
  <w:abstractNum w:abstractNumId="9">
    <w:nsid w:val="05DE6447"/>
    <w:multiLevelType w:val="singleLevel"/>
    <w:tmpl w:val="05DE6447"/>
    <w:lvl w:ilvl="0" w:tentative="0">
      <w:start w:val="1"/>
      <w:numFmt w:val="decimal"/>
      <w:suff w:val="nothing"/>
      <w:lvlText w:val="（%1）"/>
      <w:lvlJc w:val="left"/>
    </w:lvl>
  </w:abstractNum>
  <w:abstractNum w:abstractNumId="10">
    <w:nsid w:val="15EC23E1"/>
    <w:multiLevelType w:val="singleLevel"/>
    <w:tmpl w:val="15EC23E1"/>
    <w:lvl w:ilvl="0" w:tentative="0">
      <w:start w:val="1"/>
      <w:numFmt w:val="chineseCounting"/>
      <w:suff w:val="nothing"/>
      <w:lvlText w:val="%1、"/>
      <w:lvlJc w:val="left"/>
      <w:rPr>
        <w:rFonts w:hint="eastAsia"/>
      </w:rPr>
    </w:lvl>
  </w:abstractNum>
  <w:abstractNum w:abstractNumId="11">
    <w:nsid w:val="2A98676C"/>
    <w:multiLevelType w:val="singleLevel"/>
    <w:tmpl w:val="2A98676C"/>
    <w:lvl w:ilvl="0" w:tentative="0">
      <w:start w:val="1"/>
      <w:numFmt w:val="decimal"/>
      <w:suff w:val="nothing"/>
      <w:lvlText w:val="（%1）"/>
      <w:lvlJc w:val="left"/>
    </w:lvl>
  </w:abstractNum>
  <w:abstractNum w:abstractNumId="12">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3">
    <w:nsid w:val="4E8A7EB5"/>
    <w:multiLevelType w:val="singleLevel"/>
    <w:tmpl w:val="4E8A7EB5"/>
    <w:lvl w:ilvl="0" w:tentative="0">
      <w:start w:val="1"/>
      <w:numFmt w:val="decimalEnclosedCircleChinese"/>
      <w:suff w:val="nothing"/>
      <w:lvlText w:val="%1　"/>
      <w:lvlJc w:val="left"/>
      <w:pPr>
        <w:ind w:left="0" w:firstLine="400"/>
      </w:pPr>
      <w:rPr>
        <w:rFonts w:hint="eastAsia"/>
      </w:rPr>
    </w:lvl>
  </w:abstractNum>
  <w:abstractNum w:abstractNumId="14">
    <w:nsid w:val="6C079904"/>
    <w:multiLevelType w:val="singleLevel"/>
    <w:tmpl w:val="6C079904"/>
    <w:lvl w:ilvl="0" w:tentative="0">
      <w:start w:val="1"/>
      <w:numFmt w:val="decimal"/>
      <w:suff w:val="nothing"/>
      <w:lvlText w:val="%1、"/>
      <w:lvlJc w:val="left"/>
      <w:pPr>
        <w:ind w:left="150"/>
      </w:pPr>
    </w:lvl>
  </w:abstractNum>
  <w:abstractNum w:abstractNumId="15">
    <w:nsid w:val="7546087A"/>
    <w:multiLevelType w:val="singleLevel"/>
    <w:tmpl w:val="7546087A"/>
    <w:lvl w:ilvl="0" w:tentative="0">
      <w:start w:val="1"/>
      <w:numFmt w:val="decimalEnclosedCircleChinese"/>
      <w:suff w:val="nothing"/>
      <w:lvlText w:val="%1　"/>
      <w:lvlJc w:val="left"/>
      <w:pPr>
        <w:ind w:left="0" w:firstLine="400"/>
      </w:pPr>
      <w:rPr>
        <w:rFonts w:hint="eastAsia"/>
      </w:rPr>
    </w:lvl>
  </w:abstractNum>
  <w:num w:numId="1">
    <w:abstractNumId w:val="8"/>
  </w:num>
  <w:num w:numId="2">
    <w:abstractNumId w:val="0"/>
  </w:num>
  <w:num w:numId="3">
    <w:abstractNumId w:val="10"/>
  </w:num>
  <w:num w:numId="4">
    <w:abstractNumId w:val="14"/>
  </w:num>
  <w:num w:numId="5">
    <w:abstractNumId w:val="2"/>
  </w:num>
  <w:num w:numId="6">
    <w:abstractNumId w:val="7"/>
  </w:num>
  <w:num w:numId="7">
    <w:abstractNumId w:val="5"/>
  </w:num>
  <w:num w:numId="8">
    <w:abstractNumId w:val="9"/>
  </w:num>
  <w:num w:numId="9">
    <w:abstractNumId w:val="15"/>
  </w:num>
  <w:num w:numId="10">
    <w:abstractNumId w:val="3"/>
  </w:num>
  <w:num w:numId="11">
    <w:abstractNumId w:val="4"/>
  </w:num>
  <w:num w:numId="12">
    <w:abstractNumId w:val="11"/>
  </w:num>
  <w:num w:numId="13">
    <w:abstractNumId w:val="6"/>
  </w:num>
  <w:num w:numId="14">
    <w:abstractNumId w:val="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ZDdlNTg3NjVkMTE1MzRjZTMxNDNkNzRlM2EwNjkifQ=="/>
  </w:docVars>
  <w:rsids>
    <w:rsidRoot w:val="0032456D"/>
    <w:rsid w:val="00037B8E"/>
    <w:rsid w:val="00042F4D"/>
    <w:rsid w:val="00045DCA"/>
    <w:rsid w:val="00055980"/>
    <w:rsid w:val="00055F99"/>
    <w:rsid w:val="00066680"/>
    <w:rsid w:val="0007348B"/>
    <w:rsid w:val="000A0C1D"/>
    <w:rsid w:val="000C33D6"/>
    <w:rsid w:val="000F5332"/>
    <w:rsid w:val="00115C41"/>
    <w:rsid w:val="00127337"/>
    <w:rsid w:val="00135233"/>
    <w:rsid w:val="001A0E26"/>
    <w:rsid w:val="001B0E88"/>
    <w:rsid w:val="00274109"/>
    <w:rsid w:val="002822FC"/>
    <w:rsid w:val="00287DCA"/>
    <w:rsid w:val="00290D83"/>
    <w:rsid w:val="002C4A81"/>
    <w:rsid w:val="002D2C95"/>
    <w:rsid w:val="002D6B1E"/>
    <w:rsid w:val="002E19BA"/>
    <w:rsid w:val="0030447F"/>
    <w:rsid w:val="0032456D"/>
    <w:rsid w:val="00337161"/>
    <w:rsid w:val="00341604"/>
    <w:rsid w:val="00343F2F"/>
    <w:rsid w:val="003554B7"/>
    <w:rsid w:val="00362A82"/>
    <w:rsid w:val="00363275"/>
    <w:rsid w:val="00385892"/>
    <w:rsid w:val="00387C32"/>
    <w:rsid w:val="003950B2"/>
    <w:rsid w:val="003B1784"/>
    <w:rsid w:val="003B6174"/>
    <w:rsid w:val="003C0B2B"/>
    <w:rsid w:val="003C6134"/>
    <w:rsid w:val="00425B50"/>
    <w:rsid w:val="00431F43"/>
    <w:rsid w:val="0043797E"/>
    <w:rsid w:val="00452C08"/>
    <w:rsid w:val="00456887"/>
    <w:rsid w:val="00487EC5"/>
    <w:rsid w:val="0049599E"/>
    <w:rsid w:val="004A255A"/>
    <w:rsid w:val="004B1133"/>
    <w:rsid w:val="004C649B"/>
    <w:rsid w:val="00507A1B"/>
    <w:rsid w:val="00522005"/>
    <w:rsid w:val="00536215"/>
    <w:rsid w:val="00551061"/>
    <w:rsid w:val="005A0DF4"/>
    <w:rsid w:val="005A653A"/>
    <w:rsid w:val="005C21A9"/>
    <w:rsid w:val="005D41FB"/>
    <w:rsid w:val="00603290"/>
    <w:rsid w:val="00607ADB"/>
    <w:rsid w:val="00637FE1"/>
    <w:rsid w:val="00640351"/>
    <w:rsid w:val="00642EE1"/>
    <w:rsid w:val="00665E7E"/>
    <w:rsid w:val="00681719"/>
    <w:rsid w:val="006C765C"/>
    <w:rsid w:val="006D5D99"/>
    <w:rsid w:val="006D6D5B"/>
    <w:rsid w:val="006E06E0"/>
    <w:rsid w:val="006E0CCC"/>
    <w:rsid w:val="006E589A"/>
    <w:rsid w:val="006F40E8"/>
    <w:rsid w:val="00703DDD"/>
    <w:rsid w:val="00704811"/>
    <w:rsid w:val="0070613C"/>
    <w:rsid w:val="00710DCD"/>
    <w:rsid w:val="007317A3"/>
    <w:rsid w:val="00741A24"/>
    <w:rsid w:val="0075262E"/>
    <w:rsid w:val="00753A11"/>
    <w:rsid w:val="00765761"/>
    <w:rsid w:val="007A511A"/>
    <w:rsid w:val="007C0B7B"/>
    <w:rsid w:val="007E64C8"/>
    <w:rsid w:val="00802B4D"/>
    <w:rsid w:val="00803A22"/>
    <w:rsid w:val="008079C5"/>
    <w:rsid w:val="00813E38"/>
    <w:rsid w:val="008174F9"/>
    <w:rsid w:val="00822BE9"/>
    <w:rsid w:val="0087299F"/>
    <w:rsid w:val="00883887"/>
    <w:rsid w:val="00883956"/>
    <w:rsid w:val="008900AC"/>
    <w:rsid w:val="008949F7"/>
    <w:rsid w:val="00897668"/>
    <w:rsid w:val="008A5F07"/>
    <w:rsid w:val="008C7065"/>
    <w:rsid w:val="008D18A0"/>
    <w:rsid w:val="008D18A4"/>
    <w:rsid w:val="008E0E18"/>
    <w:rsid w:val="00900243"/>
    <w:rsid w:val="0093643E"/>
    <w:rsid w:val="00940163"/>
    <w:rsid w:val="0094243C"/>
    <w:rsid w:val="00952855"/>
    <w:rsid w:val="009B308E"/>
    <w:rsid w:val="009B5262"/>
    <w:rsid w:val="009C2AC0"/>
    <w:rsid w:val="009C4C05"/>
    <w:rsid w:val="009D5B7C"/>
    <w:rsid w:val="009D7973"/>
    <w:rsid w:val="00A162DE"/>
    <w:rsid w:val="00A261B9"/>
    <w:rsid w:val="00A55C68"/>
    <w:rsid w:val="00A6013B"/>
    <w:rsid w:val="00A6559B"/>
    <w:rsid w:val="00A74966"/>
    <w:rsid w:val="00AB0292"/>
    <w:rsid w:val="00AB5FA7"/>
    <w:rsid w:val="00AC376C"/>
    <w:rsid w:val="00AE23A7"/>
    <w:rsid w:val="00B022B6"/>
    <w:rsid w:val="00B10BA2"/>
    <w:rsid w:val="00B23077"/>
    <w:rsid w:val="00B47CD2"/>
    <w:rsid w:val="00B566D7"/>
    <w:rsid w:val="00B63110"/>
    <w:rsid w:val="00B658D0"/>
    <w:rsid w:val="00B97DA0"/>
    <w:rsid w:val="00BA59FB"/>
    <w:rsid w:val="00BC7661"/>
    <w:rsid w:val="00BE2FA3"/>
    <w:rsid w:val="00C05568"/>
    <w:rsid w:val="00C07BB1"/>
    <w:rsid w:val="00C30C41"/>
    <w:rsid w:val="00C645FA"/>
    <w:rsid w:val="00C67D9C"/>
    <w:rsid w:val="00C74246"/>
    <w:rsid w:val="00CA54FD"/>
    <w:rsid w:val="00CD079B"/>
    <w:rsid w:val="00CF618F"/>
    <w:rsid w:val="00D131D9"/>
    <w:rsid w:val="00D5417D"/>
    <w:rsid w:val="00D67329"/>
    <w:rsid w:val="00D81B9D"/>
    <w:rsid w:val="00DA2604"/>
    <w:rsid w:val="00DC3B53"/>
    <w:rsid w:val="00DD02BE"/>
    <w:rsid w:val="00E067DB"/>
    <w:rsid w:val="00E171CC"/>
    <w:rsid w:val="00E366BF"/>
    <w:rsid w:val="00E40DCF"/>
    <w:rsid w:val="00E42DA5"/>
    <w:rsid w:val="00E4476D"/>
    <w:rsid w:val="00E55A95"/>
    <w:rsid w:val="00E80D89"/>
    <w:rsid w:val="00EB1266"/>
    <w:rsid w:val="00EB2C7D"/>
    <w:rsid w:val="00ED0646"/>
    <w:rsid w:val="00ED09EA"/>
    <w:rsid w:val="00EE0B5F"/>
    <w:rsid w:val="00EE3E50"/>
    <w:rsid w:val="00EF2F70"/>
    <w:rsid w:val="00EF718F"/>
    <w:rsid w:val="00F24399"/>
    <w:rsid w:val="00F270D0"/>
    <w:rsid w:val="00F37832"/>
    <w:rsid w:val="00F41704"/>
    <w:rsid w:val="00F466BD"/>
    <w:rsid w:val="00F50FF0"/>
    <w:rsid w:val="00F53571"/>
    <w:rsid w:val="00FD034E"/>
    <w:rsid w:val="00FE0014"/>
    <w:rsid w:val="014E7B14"/>
    <w:rsid w:val="02CA3CA8"/>
    <w:rsid w:val="02F12CE4"/>
    <w:rsid w:val="03ED05FD"/>
    <w:rsid w:val="0440568B"/>
    <w:rsid w:val="05215177"/>
    <w:rsid w:val="0663677F"/>
    <w:rsid w:val="068E19FD"/>
    <w:rsid w:val="06C70D2A"/>
    <w:rsid w:val="08676482"/>
    <w:rsid w:val="09193D89"/>
    <w:rsid w:val="09D033FC"/>
    <w:rsid w:val="0A8B7532"/>
    <w:rsid w:val="0A8E078F"/>
    <w:rsid w:val="0ACA0AE6"/>
    <w:rsid w:val="0AF80536"/>
    <w:rsid w:val="0B2113CF"/>
    <w:rsid w:val="0C165A64"/>
    <w:rsid w:val="0C7637F4"/>
    <w:rsid w:val="0CFC09F0"/>
    <w:rsid w:val="0D2F0B75"/>
    <w:rsid w:val="0DAC2398"/>
    <w:rsid w:val="0DBE02EF"/>
    <w:rsid w:val="0DDC58B7"/>
    <w:rsid w:val="0E6270C7"/>
    <w:rsid w:val="0E65504E"/>
    <w:rsid w:val="0FF92FFA"/>
    <w:rsid w:val="102351BA"/>
    <w:rsid w:val="11A55AA9"/>
    <w:rsid w:val="12BF484E"/>
    <w:rsid w:val="146575A6"/>
    <w:rsid w:val="15573B1C"/>
    <w:rsid w:val="156B7CCE"/>
    <w:rsid w:val="15907EEF"/>
    <w:rsid w:val="167E5906"/>
    <w:rsid w:val="1893718E"/>
    <w:rsid w:val="19035B51"/>
    <w:rsid w:val="198A0A74"/>
    <w:rsid w:val="1C112ED9"/>
    <w:rsid w:val="1C46559E"/>
    <w:rsid w:val="1C837C6F"/>
    <w:rsid w:val="1CFF1567"/>
    <w:rsid w:val="1DCF2EE6"/>
    <w:rsid w:val="1DE06110"/>
    <w:rsid w:val="1E2F7BBF"/>
    <w:rsid w:val="1F563263"/>
    <w:rsid w:val="1F841F36"/>
    <w:rsid w:val="1FDC0CAD"/>
    <w:rsid w:val="21E5709B"/>
    <w:rsid w:val="225C17EC"/>
    <w:rsid w:val="22FB28BD"/>
    <w:rsid w:val="230576F2"/>
    <w:rsid w:val="23076029"/>
    <w:rsid w:val="25AC31DE"/>
    <w:rsid w:val="27E50E00"/>
    <w:rsid w:val="28342109"/>
    <w:rsid w:val="28927A05"/>
    <w:rsid w:val="28A94DC4"/>
    <w:rsid w:val="29271066"/>
    <w:rsid w:val="298734E1"/>
    <w:rsid w:val="2A0D54B3"/>
    <w:rsid w:val="2A8B74D8"/>
    <w:rsid w:val="2AAC20AC"/>
    <w:rsid w:val="2B3861EA"/>
    <w:rsid w:val="2B8A6D4E"/>
    <w:rsid w:val="2DEC6BE5"/>
    <w:rsid w:val="2ED7271D"/>
    <w:rsid w:val="2EED59B3"/>
    <w:rsid w:val="2F7E3ACA"/>
    <w:rsid w:val="30766BAA"/>
    <w:rsid w:val="30A35E59"/>
    <w:rsid w:val="30AD1CC1"/>
    <w:rsid w:val="30EC1405"/>
    <w:rsid w:val="31CE0B2F"/>
    <w:rsid w:val="323671F0"/>
    <w:rsid w:val="334E1991"/>
    <w:rsid w:val="33C12E53"/>
    <w:rsid w:val="34ED2B7D"/>
    <w:rsid w:val="352E3D4F"/>
    <w:rsid w:val="3571240C"/>
    <w:rsid w:val="38B22A8A"/>
    <w:rsid w:val="390360E4"/>
    <w:rsid w:val="3A156EAA"/>
    <w:rsid w:val="3A5245A4"/>
    <w:rsid w:val="3AC83310"/>
    <w:rsid w:val="3C1B2328"/>
    <w:rsid w:val="3C3641D7"/>
    <w:rsid w:val="3D4E1819"/>
    <w:rsid w:val="3D7824A0"/>
    <w:rsid w:val="3DD90FD5"/>
    <w:rsid w:val="3DFA334F"/>
    <w:rsid w:val="3E5F1744"/>
    <w:rsid w:val="41AA204A"/>
    <w:rsid w:val="42975061"/>
    <w:rsid w:val="429D17C3"/>
    <w:rsid w:val="43D20C6D"/>
    <w:rsid w:val="44FD333B"/>
    <w:rsid w:val="467227C3"/>
    <w:rsid w:val="48900C98"/>
    <w:rsid w:val="492D7C1D"/>
    <w:rsid w:val="4A9D74AF"/>
    <w:rsid w:val="4EB32BBC"/>
    <w:rsid w:val="50D949D1"/>
    <w:rsid w:val="51551E82"/>
    <w:rsid w:val="528C6644"/>
    <w:rsid w:val="52DA7305"/>
    <w:rsid w:val="53156DD9"/>
    <w:rsid w:val="5435197F"/>
    <w:rsid w:val="543D7E8D"/>
    <w:rsid w:val="54ED5B16"/>
    <w:rsid w:val="553C7AE3"/>
    <w:rsid w:val="56226ADC"/>
    <w:rsid w:val="564D411A"/>
    <w:rsid w:val="57D83DFB"/>
    <w:rsid w:val="57FB6A8F"/>
    <w:rsid w:val="58FFF3D3"/>
    <w:rsid w:val="59635CB4"/>
    <w:rsid w:val="5A205752"/>
    <w:rsid w:val="5B8637E6"/>
    <w:rsid w:val="5C1761A2"/>
    <w:rsid w:val="5C467A75"/>
    <w:rsid w:val="5C635E30"/>
    <w:rsid w:val="5D372FDE"/>
    <w:rsid w:val="5D8D3664"/>
    <w:rsid w:val="5DDE3802"/>
    <w:rsid w:val="5E3840BB"/>
    <w:rsid w:val="5E4C19C5"/>
    <w:rsid w:val="5F023B27"/>
    <w:rsid w:val="5F7A0B1F"/>
    <w:rsid w:val="5F8911C3"/>
    <w:rsid w:val="607B1BA8"/>
    <w:rsid w:val="610778CE"/>
    <w:rsid w:val="626616D3"/>
    <w:rsid w:val="62C60519"/>
    <w:rsid w:val="64236FA1"/>
    <w:rsid w:val="64A31301"/>
    <w:rsid w:val="652D0F68"/>
    <w:rsid w:val="66A35BCC"/>
    <w:rsid w:val="66AB4F6E"/>
    <w:rsid w:val="67C22C41"/>
    <w:rsid w:val="696E52E2"/>
    <w:rsid w:val="6ADA6FE4"/>
    <w:rsid w:val="6AFD2993"/>
    <w:rsid w:val="6B2D43FA"/>
    <w:rsid w:val="6B4D0156"/>
    <w:rsid w:val="6CAF118B"/>
    <w:rsid w:val="6DE835FD"/>
    <w:rsid w:val="6E68189E"/>
    <w:rsid w:val="6F1859D0"/>
    <w:rsid w:val="6F1C418A"/>
    <w:rsid w:val="6F4F27B2"/>
    <w:rsid w:val="6F991EAF"/>
    <w:rsid w:val="701F7900"/>
    <w:rsid w:val="712A62BB"/>
    <w:rsid w:val="729050FF"/>
    <w:rsid w:val="72D2627D"/>
    <w:rsid w:val="73235862"/>
    <w:rsid w:val="74052E79"/>
    <w:rsid w:val="74D45E5A"/>
    <w:rsid w:val="75814B4C"/>
    <w:rsid w:val="763F3FDA"/>
    <w:rsid w:val="779C04A9"/>
    <w:rsid w:val="77FE280A"/>
    <w:rsid w:val="7804502C"/>
    <w:rsid w:val="788D659F"/>
    <w:rsid w:val="78B72619"/>
    <w:rsid w:val="793331D2"/>
    <w:rsid w:val="79B56378"/>
    <w:rsid w:val="7A212553"/>
    <w:rsid w:val="7A73373C"/>
    <w:rsid w:val="7A754B63"/>
    <w:rsid w:val="7A7B3AAB"/>
    <w:rsid w:val="7BC87B0C"/>
    <w:rsid w:val="7D1E00BA"/>
    <w:rsid w:val="7D443D41"/>
    <w:rsid w:val="7FDA3EB2"/>
    <w:rsid w:val="D6ED0AC6"/>
    <w:rsid w:val="E4FA0CCC"/>
    <w:rsid w:val="F7ED0E50"/>
    <w:rsid w:val="FEEB9204"/>
    <w:rsid w:val="FF6622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next w:val="1"/>
    <w:qFormat/>
    <w:uiPriority w:val="0"/>
    <w:pPr>
      <w:spacing w:line="360" w:lineRule="auto"/>
    </w:pPr>
    <w:rPr>
      <w:color w:val="0000FF"/>
      <w:kern w:val="2"/>
      <w:sz w:val="24"/>
      <w:szCs w:val="24"/>
    </w:rPr>
  </w:style>
  <w:style w:type="paragraph" w:styleId="4">
    <w:name w:val="Plain Text"/>
    <w:basedOn w:val="1"/>
    <w:qFormat/>
    <w:uiPriority w:val="0"/>
    <w:rPr>
      <w:rFonts w:ascii="宋体" w:hAnsi="Courier New"/>
      <w:sz w:val="19"/>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eastAsia="宋体" w:cs="Times New Roman"/>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customStyle="1" w:styleId="16">
    <w:name w:val="列出段落1"/>
    <w:basedOn w:val="1"/>
    <w:qFormat/>
    <w:uiPriority w:val="0"/>
    <w:pPr>
      <w:ind w:firstLine="420" w:firstLineChars="200"/>
    </w:pPr>
  </w:style>
  <w:style w:type="character" w:customStyle="1" w:styleId="17">
    <w:name w:val="批注文字 字符"/>
    <w:basedOn w:val="11"/>
    <w:link w:val="2"/>
    <w:semiHidden/>
    <w:qFormat/>
    <w:uiPriority w:val="99"/>
    <w:rPr>
      <w:rFonts w:ascii="Calibri" w:hAnsi="Calibri"/>
    </w:rPr>
  </w:style>
  <w:style w:type="character" w:customStyle="1" w:styleId="18">
    <w:name w:val="批注框文本 字符"/>
    <w:basedOn w:val="11"/>
    <w:link w:val="5"/>
    <w:semiHidden/>
    <w:qFormat/>
    <w:uiPriority w:val="99"/>
    <w:rPr>
      <w:rFonts w:eastAsiaTheme="minorEastAsia" w:cstheme="minorBidi"/>
      <w:kern w:val="2"/>
      <w:sz w:val="18"/>
      <w:szCs w:val="18"/>
    </w:rPr>
  </w:style>
  <w:style w:type="character" w:customStyle="1" w:styleId="19">
    <w:name w:val="font51"/>
    <w:basedOn w:val="11"/>
    <w:qFormat/>
    <w:uiPriority w:val="0"/>
    <w:rPr>
      <w:rFonts w:hint="eastAsia" w:ascii="仿宋" w:hAnsi="仿宋" w:eastAsia="仿宋" w:cs="仿宋"/>
      <w:color w:val="000000"/>
      <w:sz w:val="24"/>
      <w:szCs w:val="24"/>
      <w:u w:val="none"/>
    </w:rPr>
  </w:style>
  <w:style w:type="paragraph" w:styleId="20">
    <w:name w:val="List Paragraph"/>
    <w:basedOn w:val="1"/>
    <w:unhideWhenUsed/>
    <w:qFormat/>
    <w:uiPriority w:val="99"/>
    <w:pPr>
      <w:ind w:firstLine="420" w:firstLineChars="200"/>
    </w:pPr>
  </w:style>
  <w:style w:type="paragraph" w:customStyle="1" w:styleId="21">
    <w:name w:val="重汽文档正文一级标题"/>
    <w:basedOn w:val="22"/>
    <w:qFormat/>
    <w:uiPriority w:val="0"/>
    <w:pPr>
      <w:numPr>
        <w:ilvl w:val="0"/>
        <w:numId w:val="1"/>
      </w:numPr>
      <w:ind w:firstLine="0" w:firstLineChars="0"/>
    </w:pPr>
  </w:style>
  <w:style w:type="paragraph" w:customStyle="1" w:styleId="22">
    <w:name w:val="重汽文档正文"/>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E7930-92CD-48A2-AC13-23F41EF92D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6455</Words>
  <Characters>6638</Characters>
  <Lines>35</Lines>
  <Paragraphs>9</Paragraphs>
  <TotalTime>8</TotalTime>
  <ScaleCrop>false</ScaleCrop>
  <LinksUpToDate>false</LinksUpToDate>
  <CharactersWithSpaces>6671</CharactersWithSpaces>
  <Application>WPS Office_11.8.2.12119_F1E327BC-269C-435d-A152-05C5408002CA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2018-07-21T00:42:00Z</dcterms:created>
  <dc:creator>jn</dc:creator>
  <cp:lastModifiedBy>Administrator</cp:lastModifiedBy>
  <cp:lastPrinted>2022-03-17T15:22:00Z</cp:lastPrinted>
  <dcterms:modified xsi:type="dcterms:W3CDTF">2026-03-31T05:52:51Z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6AEE2EE84E8F480CAEDC5430D4AA1143</vt:lpwstr>
  </property>
  <property fmtid="{D5CDD505-2E9C-101B-9397-08002B2CF9AE}" pid="4" name="KSOTemplateDocerSaveRecord">
    <vt:lpwstr>eyJoZGlkIjoiMmMzZDdlNTg3NjVkMTE1MzRjZTMxNDNkNzRlM2EwNjkiLCJ1c2VySWQiOiIxNTcxMTk4MTcwIn0=</vt:lpwstr>
  </property>
</Properties>
</file>