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Calibri" w:eastAsia="宋体" w:cs="Times New Roman"/>
          <w:color w:val="auto"/>
          <w:sz w:val="30"/>
          <w:szCs w:val="30"/>
        </w:rPr>
      </w:pPr>
      <w:bookmarkStart w:id="0" w:name="OLE_LINK30"/>
      <w:bookmarkStart w:id="1" w:name="OLE_LINK31"/>
    </w:p>
    <w:p>
      <w:pPr>
        <w:spacing w:line="276" w:lineRule="auto"/>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pPr>
        <w:jc w:val="center"/>
        <w:rPr>
          <w:rFonts w:hint="eastAsia" w:ascii="Calibri" w:hAnsi="宋体" w:eastAsia="宋体" w:cs="Times New Roman"/>
          <w:b/>
          <w:bCs/>
          <w:color w:val="auto"/>
          <w:spacing w:val="-8"/>
          <w:sz w:val="48"/>
          <w:szCs w:val="44"/>
        </w:rPr>
      </w:pPr>
    </w:p>
    <w:p>
      <w:pPr>
        <w:jc w:val="center"/>
        <w:rPr>
          <w:rFonts w:ascii="Calibri" w:hAnsi="Calibri" w:eastAsia="宋体" w:cs="Times New Roman"/>
          <w:color w:val="auto"/>
          <w:sz w:val="28"/>
          <w:szCs w:val="28"/>
        </w:rPr>
      </w:pPr>
      <w:r>
        <w:rPr>
          <w:rFonts w:hint="eastAsia" w:ascii="Calibri" w:hAnsi="宋体" w:eastAsia="宋体" w:cs="Times New Roman"/>
          <w:b/>
          <w:bCs/>
          <w:color w:val="auto"/>
          <w:spacing w:val="-8"/>
          <w:sz w:val="48"/>
          <w:szCs w:val="44"/>
        </w:rPr>
        <w:t>车间大屏项目土建施工</w:t>
      </w:r>
      <w:r>
        <w:rPr>
          <w:rFonts w:hint="eastAsia" w:ascii="Calibri" w:hAnsi="Calibri" w:eastAsia="宋体" w:cs="Times New Roman"/>
          <w:color w:val="auto"/>
          <w:sz w:val="28"/>
          <w:szCs w:val="28"/>
        </w:rPr>
        <w:t xml:space="preserve">                                     </w:t>
      </w:r>
    </w:p>
    <w:p>
      <w:pPr>
        <w:pStyle w:val="16"/>
        <w:framePr w:wrap="around"/>
        <w:rPr>
          <w:color w:val="auto"/>
        </w:rPr>
      </w:pPr>
    </w:p>
    <w:p>
      <w:pPr>
        <w:pStyle w:val="16"/>
        <w:framePr w:wrap="around"/>
        <w:rPr>
          <w:color w:val="auto"/>
        </w:rPr>
      </w:pPr>
    </w:p>
    <w:p>
      <w:pPr>
        <w:pStyle w:val="16"/>
        <w:framePr w:wrap="around"/>
        <w:rPr>
          <w:color w:val="auto"/>
        </w:rPr>
      </w:pPr>
    </w:p>
    <w:p>
      <w:pPr>
        <w:jc w:val="right"/>
        <w:rPr>
          <w:rFonts w:ascii="Calibri" w:hAnsi="Calibri" w:eastAsia="宋体" w:cs="Times New Roman"/>
          <w:color w:val="auto"/>
          <w:sz w:val="28"/>
          <w:szCs w:val="28"/>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招</w:t>
      </w: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p>
    <w:p>
      <w:pPr>
        <w:jc w:val="center"/>
        <w:rPr>
          <w:rFonts w:ascii="宋体" w:hAnsi="Calibri" w:eastAsia="宋体" w:cs="Times New Roman"/>
          <w:color w:val="auto"/>
          <w:sz w:val="28"/>
          <w:szCs w:val="28"/>
        </w:rPr>
      </w:pPr>
      <w:r>
        <w:rPr>
          <w:rFonts w:hint="eastAsia" w:ascii="黑体" w:hAnsi="宋体" w:eastAsia="黑体" w:cs="Times New Roman"/>
          <w:color w:val="auto"/>
          <w:sz w:val="72"/>
          <w:szCs w:val="72"/>
        </w:rPr>
        <w:t>书</w:t>
      </w: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pPr>
        <w:jc w:val="center"/>
        <w:rPr>
          <w:rFonts w:hint="eastAsia" w:ascii="宋体" w:hAnsi="宋体" w:eastAsia="宋体" w:cs="Times New Roman"/>
          <w:color w:val="auto"/>
          <w:sz w:val="28"/>
          <w:szCs w:val="28"/>
        </w:rPr>
      </w:pPr>
    </w:p>
    <w:p>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人：中国重汽集团济南特种车有限公司</w:t>
      </w:r>
    </w:p>
    <w:p>
      <w:pPr>
        <w:jc w:val="center"/>
        <w:rPr>
          <w:rFonts w:ascii="宋体" w:hAnsi="Calibri" w:eastAsia="宋体" w:cs="Times New Roman"/>
          <w:color w:val="auto"/>
          <w:sz w:val="28"/>
          <w:szCs w:val="28"/>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lang w:val="en-US" w:eastAsia="zh-CN"/>
        </w:rPr>
        <w:t>5</w:t>
      </w:r>
      <w:r>
        <w:rPr>
          <w:rFonts w:hint="eastAsia" w:ascii="宋体" w:hAnsi="宋体" w:eastAsia="宋体" w:cs="Times New Roman"/>
          <w:color w:val="auto"/>
          <w:sz w:val="28"/>
          <w:szCs w:val="28"/>
        </w:rPr>
        <w:t>年</w:t>
      </w:r>
      <w:r>
        <w:rPr>
          <w:rFonts w:hint="eastAsia" w:ascii="Calibri" w:hAnsi="Calibri" w:eastAsia="宋体" w:cs="Times New Roman"/>
          <w:color w:val="auto"/>
          <w:sz w:val="28"/>
          <w:szCs w:val="28"/>
          <w:lang w:val="en-US" w:eastAsia="zh-CN"/>
        </w:rPr>
        <w:t>6</w:t>
      </w:r>
      <w:r>
        <w:rPr>
          <w:rFonts w:hint="eastAsia" w:ascii="Calibri" w:hAnsi="Calibri" w:eastAsia="宋体" w:cs="Times New Roman"/>
          <w:color w:val="auto"/>
          <w:sz w:val="28"/>
          <w:szCs w:val="28"/>
        </w:rPr>
        <w:t>月</w:t>
      </w:r>
    </w:p>
    <w:p>
      <w:pPr>
        <w:keepNext/>
        <w:keepLines/>
        <w:jc w:val="center"/>
        <w:rPr>
          <w:rFonts w:ascii="Calibri" w:hAnsi="Calibri" w:eastAsia="宋体" w:cs="Times New Roman"/>
          <w:b/>
          <w:bCs/>
          <w:color w:val="auto"/>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rPr>
        <w:id w:val="147459055"/>
        <w:docPartObj>
          <w:docPartGallery w:val="Table of Contents"/>
          <w:docPartUnique/>
        </w:docPartObj>
      </w:sdtPr>
      <w:sdtEndPr>
        <w:rPr>
          <w:rFonts w:hint="eastAsia" w:ascii="宋体" w:hAnsi="宋体" w:eastAsia="宋体" w:cs="宋体"/>
          <w:b w:val="0"/>
          <w:bCs/>
          <w:snapToGrid w:val="0"/>
          <w:color w:val="auto"/>
          <w:kern w:val="0"/>
          <w:sz w:val="24"/>
          <w:szCs w:val="24"/>
        </w:rPr>
      </w:sdtEndPr>
      <w:sdtContent>
        <w:p>
          <w:pPr>
            <w:spacing w:line="480" w:lineRule="auto"/>
            <w:jc w:val="center"/>
            <w:rPr>
              <w:rFonts w:cs="宋体"/>
              <w:b/>
              <w:bCs/>
              <w:color w:val="auto"/>
              <w:sz w:val="48"/>
              <w:szCs w:val="48"/>
            </w:rPr>
          </w:pPr>
          <w:r>
            <w:rPr>
              <w:rFonts w:ascii="宋体" w:hAnsi="宋体" w:eastAsia="宋体" w:cs="宋体"/>
              <w:b/>
              <w:bCs/>
              <w:color w:val="auto"/>
              <w:sz w:val="48"/>
              <w:szCs w:val="48"/>
            </w:rPr>
            <w:t>目录</w:t>
          </w:r>
        </w:p>
        <w:p>
          <w:pPr>
            <w:pStyle w:val="23"/>
            <w:tabs>
              <w:tab w:val="right" w:leader="dot" w:pos="9071"/>
            </w:tabs>
            <w:spacing w:line="480" w:lineRule="auto"/>
            <w:rPr>
              <w:color w:val="auto"/>
              <w:sz w:val="32"/>
              <w:szCs w:val="32"/>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color w:val="auto"/>
            </w:rPr>
            <w:fldChar w:fldCharType="begin"/>
          </w:r>
          <w:r>
            <w:rPr>
              <w:color w:val="auto"/>
            </w:rPr>
            <w:instrText xml:space="preserve"> HYPERLINK \l "_Toc25915" </w:instrText>
          </w:r>
          <w:r>
            <w:rPr>
              <w:color w:val="auto"/>
            </w:rP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"_Toc15609" </w:instrText>
          </w:r>
          <w:r>
            <w:rPr>
              <w:color w:val="auto"/>
            </w:rP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"_Toc22879" </w:instrText>
          </w:r>
          <w:r>
            <w:rPr>
              <w:color w:val="auto"/>
            </w:rP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"_Toc9849" </w:instrText>
          </w:r>
          <w:r>
            <w:rPr>
              <w:color w:val="auto"/>
            </w:rP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"_Toc28859" </w:instrText>
          </w:r>
          <w:r>
            <w:rPr>
              <w:color w:val="auto"/>
            </w:rP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23"/>
            <w:tabs>
              <w:tab w:val="right" w:leader="dot" w:pos="9071"/>
            </w:tabs>
            <w:spacing w:line="480" w:lineRule="auto"/>
            <w:rPr>
              <w:color w:val="auto"/>
            </w:rPr>
          </w:pPr>
          <w:r>
            <w:rPr>
              <w:color w:val="auto"/>
            </w:rPr>
            <w:fldChar w:fldCharType="begin"/>
          </w:r>
          <w:r>
            <w:rPr>
              <w:color w:val="auto"/>
            </w:rPr>
            <w:instrText xml:space="preserve"> HYPERLINK \l "_Toc29691" </w:instrText>
          </w:r>
          <w:r>
            <w:rPr>
              <w:color w:val="auto"/>
            </w:rP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spacing w:line="360" w:lineRule="auto"/>
            <w:ind w:firstLine="420" w:firstLineChars="200"/>
            <w:rPr>
              <w:rFonts w:hint="eastAsia" w:ascii="宋体" w:hAnsi="宋体" w:eastAsia="宋体" w:cs="宋体"/>
              <w:b/>
              <w:bCs/>
              <w:color w:val="auto"/>
              <w:sz w:val="24"/>
              <w:szCs w:val="24"/>
            </w:rPr>
          </w:pPr>
          <w:r>
            <w:rPr>
              <w:rFonts w:hint="eastAsia"/>
              <w:color w:val="auto"/>
            </w:rPr>
            <w:fldChar w:fldCharType="end"/>
          </w:r>
        </w:p>
      </w:sdtContent>
    </w:sdt>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pStyle w:val="16"/>
        <w:framePr w:wrap="around" w:vAnchor="text" w:hAnchor="page" w:x="1584" w:y="-229"/>
        <w:rPr>
          <w:color w:val="auto"/>
          <w:sz w:val="36"/>
        </w:rPr>
        <w:sectPr>
          <w:headerReference r:id="rId5" w:type="default"/>
          <w:footerReference r:id="rId6" w:type="default"/>
          <w:pgSz w:w="11907" w:h="16840"/>
          <w:pgMar w:top="1304" w:right="1418" w:bottom="1304" w:left="1418" w:header="724" w:footer="851" w:gutter="0"/>
          <w:cols w:space="720" w:num="1"/>
          <w:docGrid w:linePitch="290" w:charSpace="-3931"/>
        </w:sectPr>
      </w:pPr>
    </w:p>
    <w:p>
      <w:pPr>
        <w:pStyle w:val="16"/>
        <w:framePr w:wrap="around" w:vAnchor="text" w:hAnchor="page" w:x="1584" w:y="-229"/>
        <w:numPr>
          <w:ilvl w:val="0"/>
          <w:numId w:val="1"/>
        </w:numPr>
        <w:ind w:firstLineChars="0"/>
        <w:rPr>
          <w:color w:val="auto"/>
        </w:rPr>
      </w:pPr>
      <w:r>
        <w:rPr>
          <w:rFonts w:hint="eastAsia"/>
          <w:color w:val="auto"/>
        </w:rPr>
        <w:t xml:space="preserve"> 投标须知前附表</w:t>
      </w:r>
    </w:p>
    <w:p>
      <w:pPr>
        <w:pStyle w:val="16"/>
        <w:framePr w:wrap="around" w:vAnchor="text" w:hAnchor="page" w:x="1584" w:y="-229"/>
        <w:rPr>
          <w:color w:val="auto"/>
        </w:rPr>
      </w:pPr>
    </w:p>
    <w:p>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p>
    <w:p>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p>
    <w:p>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本部分是对“投标须知”正文的具体补充和修改，如有不一致，以“前附表”为准。</w:t>
      </w:r>
    </w:p>
    <w:p>
      <w:pPr>
        <w:spacing w:line="360" w:lineRule="auto"/>
        <w:ind w:firstLine="482" w:firstLineChars="200"/>
        <w:rPr>
          <w:rFonts w:hint="eastAsia" w:ascii="宋体" w:hAnsi="宋体" w:eastAsia="宋体" w:cs="宋体"/>
          <w:b/>
          <w:bCs/>
          <w:color w:val="auto"/>
          <w:sz w:val="24"/>
          <w:szCs w:val="24"/>
        </w:r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color w:val="auto"/>
                <w:sz w:val="28"/>
                <w:szCs w:val="28"/>
              </w:rPr>
            </w:pPr>
            <w:r>
              <w:rPr>
                <w:rStyle w:val="128"/>
                <w:rFonts w:hint="eastAsia" w:ascii="宋体" w:hAnsi="宋体" w:eastAsia="宋体" w:cs="宋体"/>
                <w:b/>
                <w:color w:val="auto"/>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color w:val="auto"/>
                <w:sz w:val="28"/>
                <w:szCs w:val="28"/>
              </w:rPr>
            </w:pPr>
            <w:r>
              <w:rPr>
                <w:rStyle w:val="128"/>
                <w:rFonts w:hint="eastAsia" w:ascii="宋体" w:hAnsi="宋体" w:eastAsia="宋体" w:cs="宋体"/>
                <w:b/>
                <w:color w:val="auto"/>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项目名称：</w:t>
            </w:r>
            <w:r>
              <w:rPr>
                <w:rFonts w:hint="eastAsia" w:ascii="宋体" w:hAnsi="宋体" w:eastAsia="宋体" w:cs="宋体"/>
                <w:color w:val="auto"/>
                <w:sz w:val="24"/>
                <w:szCs w:val="24"/>
                <w:u w:val="single"/>
              </w:rPr>
              <w:t>特种车公司车间大屏项目土建施工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采购形式编号：CGZX2025060059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rPr>
              <w:t>招标内容：</w:t>
            </w:r>
            <w:r>
              <w:rPr>
                <w:rFonts w:hint="eastAsia" w:ascii="宋体" w:hAnsi="宋体" w:eastAsia="宋体" w:cs="宋体"/>
                <w:color w:val="auto"/>
                <w:sz w:val="24"/>
                <w:szCs w:val="24"/>
                <w:u w:val="single"/>
              </w:rPr>
              <w:t>车间大屏项目土建施工</w:t>
            </w:r>
            <w:r>
              <w:rPr>
                <w:rFonts w:hint="eastAsia" w:ascii="宋体" w:hAnsi="宋体" w:eastAsia="宋体" w:cs="宋体"/>
                <w:color w:val="auto"/>
                <w:sz w:val="24"/>
                <w:szCs w:val="24"/>
                <w:u w:val="single"/>
                <w:lang w:val="en-US" w:eastAsia="zh-CN"/>
              </w:rPr>
              <w:t>部分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招标形式：</w:t>
            </w:r>
            <w:r>
              <w:rPr>
                <w:rFonts w:hint="eastAsia" w:ascii="宋体" w:hAnsi="宋体" w:eastAsia="宋体" w:cs="宋体"/>
                <w:color w:val="auto"/>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color w:val="auto"/>
                <w:kern w:val="0"/>
                <w:sz w:val="24"/>
                <w:szCs w:val="24"/>
              </w:rPr>
            </w:pPr>
            <w:r>
              <w:rPr>
                <w:rFonts w:hint="eastAsia" w:ascii="宋体" w:hAnsi="宋体" w:eastAsia="宋体" w:cs="宋体"/>
                <w:b/>
                <w:snapToGrid w:val="0"/>
                <w:color w:val="auto"/>
                <w:kern w:val="0"/>
                <w:sz w:val="24"/>
                <w:szCs w:val="24"/>
              </w:rPr>
              <w:t>招标人名称：</w:t>
            </w:r>
            <w:r>
              <w:rPr>
                <w:rFonts w:hint="eastAsia" w:ascii="宋体" w:hAnsi="宋体" w:eastAsia="宋体" w:cs="宋体"/>
                <w:color w:val="auto"/>
                <w:sz w:val="24"/>
                <w:szCs w:val="24"/>
                <w:u w:val="single"/>
              </w:rPr>
              <w:t>中国重汽集团济南特种车有限公司</w:t>
            </w:r>
            <w:r>
              <w:rPr>
                <w:rFonts w:hint="eastAsia" w:ascii="宋体" w:hAnsi="宋体" w:eastAsia="宋体" w:cs="宋体"/>
                <w:bCs/>
                <w:snapToGrid w:val="0"/>
                <w:color w:val="auto"/>
                <w:kern w:val="0"/>
                <w:sz w:val="24"/>
                <w:szCs w:val="24"/>
              </w:rPr>
              <w:t xml:space="preserve"> </w:t>
            </w:r>
          </w:p>
          <w:p>
            <w:pPr>
              <w:ind w:firstLine="482" w:firstLineChars="200"/>
              <w:rPr>
                <w:rFonts w:ascii="宋体" w:hAnsi="宋体" w:eastAsia="宋体" w:cs="宋体"/>
                <w:color w:val="auto"/>
                <w:sz w:val="24"/>
                <w:szCs w:val="24"/>
              </w:rPr>
            </w:pPr>
            <w:r>
              <w:rPr>
                <w:rFonts w:hint="eastAsia" w:ascii="宋体" w:hAnsi="宋体" w:eastAsia="宋体" w:cs="宋体"/>
                <w:b/>
                <w:snapToGrid w:val="0"/>
                <w:color w:val="auto"/>
                <w:kern w:val="0"/>
                <w:sz w:val="24"/>
                <w:szCs w:val="24"/>
              </w:rPr>
              <w:t>招标人地址：</w:t>
            </w:r>
            <w:r>
              <w:rPr>
                <w:rFonts w:hint="eastAsia" w:ascii="宋体" w:hAnsi="宋体" w:eastAsia="宋体" w:cs="宋体"/>
                <w:color w:val="auto"/>
                <w:sz w:val="24"/>
                <w:szCs w:val="24"/>
                <w:u w:val="single"/>
              </w:rPr>
              <w:t xml:space="preserve">济南市槐荫区经十西路3100号 </w:t>
            </w:r>
          </w:p>
          <w:p>
            <w:pPr>
              <w:ind w:firstLine="482" w:firstLineChars="200"/>
              <w:rPr>
                <w:rFonts w:ascii="宋体" w:hAnsi="宋体" w:eastAsia="宋体" w:cs="宋体"/>
                <w:bCs/>
                <w:snapToGrid w:val="0"/>
                <w:color w:val="auto"/>
                <w:kern w:val="0"/>
                <w:sz w:val="24"/>
                <w:szCs w:val="24"/>
              </w:rPr>
            </w:pPr>
            <w:r>
              <w:rPr>
                <w:rFonts w:hint="eastAsia" w:ascii="宋体" w:hAnsi="宋体" w:eastAsia="宋体" w:cs="宋体"/>
                <w:b/>
                <w:snapToGrid w:val="0"/>
                <w:color w:val="auto"/>
                <w:kern w:val="0"/>
                <w:sz w:val="24"/>
                <w:szCs w:val="24"/>
              </w:rPr>
              <w:t>商务联系人：李苗</w:t>
            </w:r>
          </w:p>
          <w:p>
            <w:pPr>
              <w:pStyle w:val="16"/>
              <w:framePr w:hSpace="0" w:wrap="auto" w:vAnchor="margin" w:hAnchor="text" w:xAlign="left" w:yAlign="inline"/>
              <w:rPr>
                <w:color w:val="auto"/>
              </w:rPr>
            </w:pPr>
            <w:r>
              <w:rPr>
                <w:rFonts w:hint="eastAsia"/>
                <w:color w:val="auto"/>
              </w:rPr>
              <w:t>电话：13854132324</w:t>
            </w:r>
          </w:p>
          <w:p>
            <w:pPr>
              <w:ind w:firstLine="482" w:firstLineChars="200"/>
              <w:rPr>
                <w:rFonts w:ascii="宋体" w:hAnsi="宋体" w:eastAsia="宋体" w:cs="宋体"/>
                <w:b/>
                <w:snapToGrid w:val="0"/>
                <w:color w:val="auto"/>
                <w:kern w:val="0"/>
                <w:sz w:val="24"/>
                <w:szCs w:val="24"/>
              </w:rPr>
            </w:pPr>
            <w:r>
              <w:rPr>
                <w:rFonts w:hint="eastAsia" w:ascii="宋体" w:hAnsi="宋体" w:eastAsia="宋体" w:cs="宋体"/>
                <w:b/>
                <w:snapToGrid w:val="0"/>
                <w:color w:val="auto"/>
                <w:kern w:val="0"/>
                <w:sz w:val="24"/>
                <w:szCs w:val="24"/>
              </w:rPr>
              <w:t>邮箱：</w:t>
            </w:r>
            <w:r>
              <w:rPr>
                <w:rFonts w:hint="eastAsia" w:ascii="宋体" w:hAnsi="宋体" w:eastAsia="宋体" w:cs="宋体"/>
                <w:bCs/>
                <w:snapToGrid w:val="0"/>
                <w:color w:val="auto"/>
                <w:kern w:val="0"/>
                <w:sz w:val="24"/>
                <w:szCs w:val="24"/>
              </w:rPr>
              <w:t>limiao@sinotruk.com</w:t>
            </w:r>
          </w:p>
          <w:p>
            <w:pPr>
              <w:ind w:firstLine="482" w:firstLineChars="200"/>
              <w:rPr>
                <w:rFonts w:hint="eastAsia" w:ascii="宋体" w:hAnsi="宋体" w:eastAsia="宋体" w:cs="宋体"/>
                <w:bCs/>
                <w:snapToGrid w:val="0"/>
                <w:color w:val="auto"/>
                <w:kern w:val="0"/>
                <w:sz w:val="24"/>
                <w:szCs w:val="24"/>
                <w:lang w:eastAsia="zh-CN"/>
              </w:rPr>
            </w:pPr>
            <w:r>
              <w:rPr>
                <w:rFonts w:hint="eastAsia" w:ascii="宋体" w:hAnsi="宋体" w:eastAsia="宋体" w:cs="宋体"/>
                <w:b/>
                <w:snapToGrid w:val="0"/>
                <w:color w:val="auto"/>
                <w:kern w:val="0"/>
                <w:sz w:val="24"/>
                <w:szCs w:val="24"/>
              </w:rPr>
              <w:t>技术联系人：</w:t>
            </w:r>
            <w:r>
              <w:rPr>
                <w:rFonts w:hint="eastAsia" w:ascii="宋体" w:hAnsi="宋体" w:eastAsia="宋体" w:cs="宋体"/>
                <w:bCs/>
                <w:snapToGrid w:val="0"/>
                <w:color w:val="auto"/>
                <w:kern w:val="0"/>
                <w:sz w:val="24"/>
                <w:szCs w:val="24"/>
                <w:lang w:val="en-US" w:eastAsia="zh-CN"/>
              </w:rPr>
              <w:t>马群</w:t>
            </w:r>
          </w:p>
          <w:p>
            <w:pPr>
              <w:pStyle w:val="16"/>
              <w:framePr w:hSpace="0" w:wrap="auto" w:vAnchor="margin" w:hAnchor="text" w:xAlign="left" w:yAlign="inline"/>
              <w:ind w:firstLine="482"/>
              <w:rPr>
                <w:rFonts w:hint="eastAsia"/>
                <w:color w:val="auto"/>
              </w:rPr>
            </w:pPr>
            <w:r>
              <w:rPr>
                <w:rFonts w:hint="eastAsia"/>
                <w:b/>
                <w:color w:val="auto"/>
              </w:rPr>
              <w:t>电话：</w:t>
            </w:r>
            <w:r>
              <w:rPr>
                <w:rFonts w:hint="eastAsia"/>
                <w:color w:val="auto"/>
              </w:rPr>
              <w:t>13156195046</w:t>
            </w:r>
          </w:p>
          <w:p>
            <w:pPr>
              <w:pStyle w:val="16"/>
              <w:framePr w:hSpace="0" w:wrap="auto" w:vAnchor="margin" w:hAnchor="text" w:xAlign="left" w:yAlign="inline"/>
              <w:rPr>
                <w:color w:val="auto"/>
                <w:highlight w:val="yellow"/>
              </w:rPr>
            </w:pPr>
            <w:r>
              <w:rPr>
                <w:rFonts w:hint="eastAsia"/>
                <w:color w:val="auto"/>
              </w:rPr>
              <w:t>投标方有不明事宜可以进行现场勘察及答疑。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资金来源：</w:t>
            </w:r>
            <w:r>
              <w:rPr>
                <w:rFonts w:hint="eastAsia" w:ascii="宋体" w:hAnsi="宋体" w:eastAsia="宋体" w:cs="宋体"/>
                <w:color w:val="auto"/>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auto"/>
                <w:sz w:val="24"/>
                <w:szCs w:val="24"/>
              </w:rPr>
            </w:pPr>
            <w:r>
              <w:rPr>
                <w:rFonts w:hint="eastAsia" w:ascii="宋体" w:hAnsi="宋体" w:eastAsia="宋体" w:cs="宋体"/>
                <w:b/>
                <w:bCs/>
                <w:color w:val="auto"/>
                <w:sz w:val="24"/>
                <w:szCs w:val="24"/>
              </w:rPr>
              <w:t>报价：</w:t>
            </w:r>
            <w:r>
              <w:rPr>
                <w:rFonts w:hint="eastAsia" w:ascii="宋体" w:hAnsi="宋体" w:eastAsia="宋体" w:cs="宋体"/>
                <w:color w:val="auto"/>
                <w:sz w:val="24"/>
                <w:szCs w:val="24"/>
              </w:rPr>
              <w:t>如需要，由</w:t>
            </w:r>
            <w:r>
              <w:rPr>
                <w:rFonts w:hint="eastAsia" w:ascii="宋体" w:hAnsi="宋体" w:eastAsia="宋体" w:cs="Times New Roman"/>
                <w:color w:val="auto"/>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auto"/>
                <w:sz w:val="24"/>
                <w:szCs w:val="24"/>
              </w:rPr>
            </w:pPr>
            <w:r>
              <w:rPr>
                <w:rFonts w:hint="eastAsia" w:ascii="宋体" w:hAnsi="宋体" w:eastAsia="宋体" w:cs="Times New Roman"/>
                <w:b/>
                <w:bCs/>
                <w:color w:val="auto"/>
                <w:sz w:val="24"/>
                <w:szCs w:val="24"/>
              </w:rPr>
              <w:t>报价货币：</w:t>
            </w:r>
            <w:r>
              <w:rPr>
                <w:rFonts w:hint="eastAsia" w:ascii="宋体" w:hAnsi="宋体" w:eastAsia="宋体" w:cs="Times New Roman"/>
                <w:color w:val="auto"/>
                <w:sz w:val="24"/>
                <w:szCs w:val="24"/>
              </w:rPr>
              <w:t>人民币（</w:t>
            </w:r>
            <w:r>
              <w:rPr>
                <w:rFonts w:hint="eastAsia" w:ascii="宋体" w:hAnsi="宋体" w:eastAsia="宋体" w:cs="Times New Roman"/>
                <w:b/>
                <w:bCs/>
                <w:color w:val="auto"/>
                <w:sz w:val="24"/>
                <w:szCs w:val="24"/>
              </w:rPr>
              <w:t>应同时报含税价和不含税价，写明税率</w:t>
            </w:r>
            <w:r>
              <w:rPr>
                <w:rFonts w:hint="eastAsia" w:ascii="宋体" w:hAnsi="宋体" w:eastAsia="宋体" w:cs="Times New Roman"/>
                <w:color w:val="auto"/>
                <w:sz w:val="24"/>
                <w:szCs w:val="24"/>
              </w:rPr>
              <w:t>）。</w:t>
            </w:r>
          </w:p>
          <w:p>
            <w:pPr>
              <w:pStyle w:val="16"/>
              <w:framePr w:hSpace="0" w:wrap="auto" w:vAnchor="margin" w:hAnchor="text" w:xAlign="left" w:yAlign="inline"/>
              <w:ind w:firstLine="482"/>
              <w:rPr>
                <w:color w:val="auto"/>
              </w:rPr>
            </w:pPr>
            <w:r>
              <w:rPr>
                <w:rFonts w:hint="eastAsia"/>
                <w:b/>
                <w:color w:val="auto"/>
              </w:rPr>
              <w:t>投标限价</w:t>
            </w:r>
            <w:r>
              <w:rPr>
                <w:rFonts w:hint="eastAsia"/>
                <w:color w:val="auto"/>
              </w:rPr>
              <w:t>：人民币</w:t>
            </w:r>
            <w:r>
              <w:rPr>
                <w:rFonts w:hint="eastAsia"/>
                <w:color w:val="auto"/>
                <w:highlight w:val="yellow"/>
                <w:lang w:val="en-US" w:eastAsia="zh-CN"/>
              </w:rPr>
              <w:t>8.279</w:t>
            </w:r>
            <w:r>
              <w:rPr>
                <w:rFonts w:hint="eastAsia"/>
                <w:color w:val="auto"/>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rPr>
                <w:color w:val="auto"/>
              </w:rPr>
            </w:pPr>
            <w:r>
              <w:rPr>
                <w:rFonts w:hint="eastAsia"/>
                <w:color w:val="auto"/>
              </w:rPr>
              <w:t>投标人条件：</w:t>
            </w:r>
          </w:p>
          <w:p>
            <w:pPr>
              <w:pStyle w:val="16"/>
              <w:framePr w:hSpace="0" w:wrap="auto" w:vAnchor="margin" w:hAnchor="text" w:xAlign="left" w:yAlign="inline"/>
              <w:rPr>
                <w:color w:val="auto"/>
              </w:rPr>
            </w:pPr>
            <w:r>
              <w:rPr>
                <w:rFonts w:hint="eastAsia"/>
                <w:color w:val="auto"/>
              </w:rPr>
              <w:t>1.拟标投人必须是在中华人民共和国境内注册的独立法人机构，具有独立承担民事责任能力；注册资金不少于</w:t>
            </w:r>
            <w:r>
              <w:rPr>
                <w:rFonts w:hint="eastAsia"/>
                <w:b/>
                <w:color w:val="auto"/>
                <w:highlight w:val="yellow"/>
                <w:u w:val="single"/>
                <w:lang w:val="en-US" w:eastAsia="zh-CN"/>
              </w:rPr>
              <w:t>1</w:t>
            </w:r>
            <w:r>
              <w:rPr>
                <w:rFonts w:hint="eastAsia"/>
                <w:b/>
                <w:color w:val="auto"/>
                <w:highlight w:val="yellow"/>
                <w:u w:val="single"/>
              </w:rPr>
              <w:t>00万</w:t>
            </w:r>
            <w:r>
              <w:rPr>
                <w:rFonts w:hint="eastAsia"/>
                <w:color w:val="auto"/>
              </w:rPr>
              <w:t>人民币（或等值其他货币）；公司成立</w:t>
            </w:r>
            <w:r>
              <w:rPr>
                <w:rFonts w:hint="eastAsia"/>
                <w:b/>
                <w:color w:val="auto"/>
                <w:highlight w:val="yellow"/>
                <w:u w:val="single"/>
              </w:rPr>
              <w:t>三年以上</w:t>
            </w:r>
            <w:r>
              <w:rPr>
                <w:rFonts w:hint="eastAsia"/>
                <w:color w:val="auto"/>
              </w:rPr>
              <w:t>（以营业执照成立日期到开标当日满三年为准），且经营范围满足招标人需求；并在人员、设备、资金等方面具有承担本项目的能力；</w:t>
            </w:r>
          </w:p>
          <w:p>
            <w:pPr>
              <w:pStyle w:val="16"/>
              <w:framePr w:hSpace="0" w:wrap="auto" w:vAnchor="margin" w:hAnchor="text" w:xAlign="left" w:yAlign="inline"/>
              <w:rPr>
                <w:color w:val="auto"/>
              </w:rPr>
            </w:pPr>
            <w:r>
              <w:rPr>
                <w:rFonts w:hint="eastAsia"/>
                <w:color w:val="auto"/>
              </w:rPr>
              <w:t>2.拟投标人应提供营业执照</w:t>
            </w:r>
            <w:r>
              <w:rPr>
                <w:rFonts w:hint="eastAsia"/>
                <w:b/>
                <w:color w:val="auto"/>
              </w:rPr>
              <w:t>副本原件和扫描件（需盖章）</w:t>
            </w:r>
            <w:r>
              <w:rPr>
                <w:rFonts w:hint="eastAsia"/>
                <w:color w:val="auto"/>
              </w:rPr>
              <w:t>；</w:t>
            </w:r>
          </w:p>
          <w:p>
            <w:pPr>
              <w:pStyle w:val="16"/>
              <w:framePr w:hSpace="0" w:wrap="auto" w:vAnchor="margin" w:hAnchor="text" w:xAlign="left" w:yAlign="inline"/>
              <w:rPr>
                <w:color w:val="auto"/>
              </w:rPr>
            </w:pPr>
            <w:r>
              <w:rPr>
                <w:rFonts w:hint="eastAsia"/>
                <w:color w:val="auto"/>
              </w:rPr>
              <w:t>3.拟投标人应提供法定代表人资格证明文件；</w:t>
            </w:r>
          </w:p>
          <w:p>
            <w:pPr>
              <w:pStyle w:val="16"/>
              <w:framePr w:hSpace="0" w:wrap="auto" w:vAnchor="margin" w:hAnchor="text" w:xAlign="left" w:yAlign="inline"/>
              <w:rPr>
                <w:color w:val="auto"/>
              </w:rPr>
            </w:pPr>
            <w:r>
              <w:rPr>
                <w:rFonts w:hint="eastAsia"/>
                <w:color w:val="auto"/>
              </w:rPr>
              <w:t>4.</w:t>
            </w:r>
            <w:r>
              <w:rPr>
                <w:color w:val="auto"/>
              </w:rPr>
              <w:t>拟投标人在国家市场监督管理总局的《国家企业信用信息公示系统》中查询不存在不良记录</w:t>
            </w:r>
            <w:r>
              <w:rPr>
                <w:rFonts w:hint="eastAsia"/>
                <w:color w:val="auto"/>
              </w:rPr>
              <w:t>；</w:t>
            </w:r>
          </w:p>
          <w:p>
            <w:pPr>
              <w:pStyle w:val="16"/>
              <w:framePr w:hSpace="0" w:wrap="auto" w:vAnchor="margin" w:hAnchor="text" w:xAlign="left" w:yAlign="inline"/>
              <w:rPr>
                <w:color w:val="auto"/>
              </w:rPr>
            </w:pPr>
            <w:r>
              <w:rPr>
                <w:rFonts w:hint="eastAsia"/>
                <w:color w:val="auto"/>
              </w:rPr>
              <w:t>5.拟投标人不存在严重违规或被列入招标人“黑名单”的声明；</w:t>
            </w:r>
          </w:p>
          <w:p>
            <w:pPr>
              <w:pStyle w:val="16"/>
              <w:framePr w:hSpace="0" w:wrap="auto" w:vAnchor="margin" w:hAnchor="text" w:xAlign="left" w:yAlign="inline"/>
              <w:rPr>
                <w:color w:val="auto"/>
              </w:rPr>
            </w:pPr>
            <w:r>
              <w:rPr>
                <w:rFonts w:hint="eastAsia"/>
                <w:color w:val="auto"/>
              </w:rPr>
              <w:t>6.拟投标人应提供202</w:t>
            </w:r>
            <w:r>
              <w:rPr>
                <w:rFonts w:hint="eastAsia"/>
                <w:color w:val="auto"/>
                <w:lang w:val="en-US" w:eastAsia="zh-CN"/>
              </w:rPr>
              <w:t>2</w:t>
            </w:r>
            <w:r>
              <w:rPr>
                <w:rFonts w:hint="eastAsia"/>
                <w:color w:val="auto"/>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16"/>
              <w:framePr w:hSpace="0" w:wrap="auto" w:vAnchor="margin" w:hAnchor="text" w:xAlign="left" w:yAlign="inline"/>
              <w:rPr>
                <w:color w:val="auto"/>
                <w:lang w:bidi="ar"/>
              </w:rPr>
            </w:pPr>
            <w:r>
              <w:rPr>
                <w:rFonts w:hint="eastAsia"/>
                <w:color w:val="auto"/>
              </w:rPr>
              <w:t>7.拟投标人有与本次招标内容相同或类似项目业绩，且近3年内无因服务不当而造成重大事故；</w:t>
            </w:r>
          </w:p>
          <w:p>
            <w:pPr>
              <w:pStyle w:val="16"/>
              <w:framePr w:hSpace="0" w:wrap="auto" w:vAnchor="margin" w:hAnchor="text" w:xAlign="left" w:yAlign="inline"/>
              <w:rPr>
                <w:color w:val="auto"/>
              </w:rPr>
            </w:pPr>
            <w:r>
              <w:rPr>
                <w:rFonts w:hint="eastAsia"/>
                <w:color w:val="auto"/>
              </w:rPr>
              <w:t>8.</w:t>
            </w:r>
            <w:r>
              <w:rPr>
                <w:color w:val="auto"/>
              </w:rPr>
              <w:t>拟投标人近三年内在经营活动中无与本项目有关的违法及重大违规情况</w:t>
            </w:r>
            <w:r>
              <w:rPr>
                <w:rFonts w:hint="eastAsia"/>
                <w:color w:val="auto"/>
              </w:rPr>
              <w:t>；</w:t>
            </w:r>
          </w:p>
          <w:p>
            <w:pPr>
              <w:pStyle w:val="16"/>
              <w:framePr w:hSpace="0" w:wrap="auto" w:vAnchor="margin" w:hAnchor="text" w:xAlign="left" w:yAlign="inline"/>
              <w:rPr>
                <w:color w:val="auto"/>
              </w:rPr>
            </w:pPr>
            <w:r>
              <w:rPr>
                <w:rFonts w:hint="eastAsia"/>
                <w:color w:val="auto"/>
              </w:rPr>
              <w:t>9.拟投标人须认可招标人的工作指令，包括节、假日能正常开展工作的要求；</w:t>
            </w:r>
          </w:p>
          <w:p>
            <w:pPr>
              <w:pStyle w:val="16"/>
              <w:framePr w:hSpace="0" w:wrap="auto" w:vAnchor="margin" w:hAnchor="text" w:xAlign="left" w:yAlign="inline"/>
              <w:rPr>
                <w:color w:val="auto"/>
              </w:rPr>
            </w:pPr>
            <w:r>
              <w:rPr>
                <w:rFonts w:hint="eastAsia"/>
                <w:color w:val="auto"/>
              </w:rPr>
              <w:t>10.拟投标人最近半年纳税正常；</w:t>
            </w:r>
          </w:p>
          <w:p>
            <w:pPr>
              <w:pStyle w:val="16"/>
              <w:framePr w:hSpace="0" w:wrap="auto" w:vAnchor="margin" w:hAnchor="text" w:xAlign="left" w:yAlign="inline"/>
              <w:rPr>
                <w:color w:val="auto"/>
              </w:rPr>
            </w:pPr>
            <w:r>
              <w:rPr>
                <w:rFonts w:hint="eastAsia"/>
                <w:color w:val="auto"/>
              </w:rPr>
              <w:t>11.拟投标人信用证明材料（</w:t>
            </w:r>
            <w:r>
              <w:rPr>
                <w:rFonts w:hint="eastAsia"/>
                <w:color w:val="auto"/>
                <w:highlight w:val="yellow"/>
              </w:rPr>
              <w:t>征信中心出具的信用报告</w:t>
            </w:r>
            <w:r>
              <w:rPr>
                <w:rFonts w:hint="eastAsia"/>
                <w:color w:val="auto"/>
              </w:rPr>
              <w:t>）未显示异常；</w:t>
            </w:r>
          </w:p>
          <w:p>
            <w:pPr>
              <w:pStyle w:val="16"/>
              <w:framePr w:hSpace="0" w:wrap="auto" w:vAnchor="margin" w:hAnchor="text" w:xAlign="left" w:yAlign="inline"/>
              <w:rPr>
                <w:color w:val="auto"/>
              </w:rPr>
            </w:pPr>
            <w:r>
              <w:rPr>
                <w:rFonts w:hint="eastAsia"/>
                <w:color w:val="auto"/>
              </w:rPr>
              <w:t>12.拟投标人的直接或间接股东、法定代表人、董事、监事、高管非重汽员工及其亲属；</w:t>
            </w:r>
          </w:p>
          <w:p>
            <w:pPr>
              <w:pStyle w:val="16"/>
              <w:framePr w:hSpace="0" w:wrap="auto" w:vAnchor="margin" w:hAnchor="text" w:xAlign="left" w:yAlign="inline"/>
              <w:rPr>
                <w:color w:val="auto"/>
              </w:rPr>
            </w:pPr>
            <w:r>
              <w:rPr>
                <w:rFonts w:hint="eastAsia"/>
                <w:color w:val="auto"/>
              </w:rPr>
              <w:t>13.如为代理商投标，需获得生产厂家正式授权，提供授权书原件，保证提供原厂售后服务并提供原厂售后服务承诺书原件；</w:t>
            </w:r>
          </w:p>
          <w:p>
            <w:pPr>
              <w:pStyle w:val="16"/>
              <w:framePr w:hSpace="0" w:wrap="auto" w:vAnchor="margin" w:hAnchor="text" w:xAlign="left" w:yAlign="inline"/>
              <w:rPr>
                <w:color w:val="auto"/>
              </w:rPr>
            </w:pPr>
            <w:r>
              <w:rPr>
                <w:rFonts w:hint="eastAsia"/>
                <w:color w:val="auto"/>
              </w:rPr>
              <w:t>14.</w:t>
            </w:r>
            <w:r>
              <w:rPr>
                <w:rFonts w:hint="eastAsia"/>
                <w:b/>
                <w:color w:val="auto"/>
              </w:rPr>
              <w:t>本项目不接受联合体投标，</w:t>
            </w:r>
            <w:r>
              <w:rPr>
                <w:rFonts w:hint="eastAsia"/>
                <w:color w:val="auto"/>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发标时间：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6</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19</w:t>
            </w:r>
            <w:r>
              <w:rPr>
                <w:rFonts w:hint="eastAsia" w:ascii="宋体" w:hAnsi="宋体" w:eastAsia="宋体" w:cs="宋体"/>
                <w:bCs/>
                <w:color w:val="auto"/>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发标方式：</w:t>
            </w:r>
            <w:r>
              <w:rPr>
                <w:rFonts w:ascii="宋体" w:hAnsi="宋体" w:eastAsia="宋体" w:cs="宋体"/>
                <w:color w:val="auto"/>
                <w:sz w:val="24"/>
                <w:szCs w:val="24"/>
              </w:rPr>
              <w:t>中国重汽官网</w:t>
            </w:r>
            <w:r>
              <w:rPr>
                <w:rFonts w:hint="eastAsia" w:ascii="宋体" w:hAnsi="宋体" w:eastAsia="宋体" w:cs="宋体"/>
                <w:color w:val="auto"/>
                <w:sz w:val="24"/>
                <w:szCs w:val="24"/>
              </w:rPr>
              <w:t>、山东省阳光采购服务平台等公开媒体</w:t>
            </w:r>
            <w:r>
              <w:rPr>
                <w:rFonts w:ascii="宋体" w:hAnsi="宋体" w:eastAsia="宋体" w:cs="宋体"/>
                <w:color w:val="auto"/>
                <w:sz w:val="24"/>
                <w:szCs w:val="24"/>
              </w:rPr>
              <w:t>公布</w:t>
            </w:r>
            <w:r>
              <w:rPr>
                <w:rFonts w:hint="eastAsia" w:ascii="宋体" w:hAnsi="宋体" w:eastAsia="宋体" w:cs="Times New Roman"/>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color w:val="auto"/>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color w:val="auto"/>
                <w:sz w:val="24"/>
                <w:szCs w:val="24"/>
              </w:rPr>
            </w:pPr>
            <w:r>
              <w:rPr>
                <w:rFonts w:hint="eastAsia" w:ascii="宋体" w:hAnsi="宋体" w:eastAsia="宋体" w:cs="宋体"/>
                <w:color w:val="auto"/>
                <w:sz w:val="24"/>
                <w:szCs w:val="24"/>
              </w:rPr>
              <w:t>如果投标人对招标文件商务部分、技术部分有疑问，请各投标人在本答疑环节提出。</w:t>
            </w:r>
          </w:p>
          <w:p>
            <w:pPr>
              <w:ind w:firstLine="482" w:firstLineChars="200"/>
              <w:jc w:val="left"/>
              <w:rPr>
                <w:rFonts w:ascii="宋体" w:hAnsi="宋体" w:eastAsia="宋体" w:cs="宋体"/>
                <w:color w:val="auto"/>
                <w:sz w:val="24"/>
                <w:szCs w:val="24"/>
              </w:rPr>
            </w:pPr>
            <w:r>
              <w:rPr>
                <w:rFonts w:hint="eastAsia" w:ascii="宋体" w:hAnsi="宋体" w:eastAsia="宋体" w:cs="宋体"/>
                <w:b/>
                <w:bCs/>
                <w:color w:val="auto"/>
                <w:sz w:val="24"/>
                <w:szCs w:val="24"/>
              </w:rPr>
              <w:t>提交疑问时间：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6</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29</w:t>
            </w:r>
            <w:r>
              <w:rPr>
                <w:rFonts w:hint="eastAsia" w:ascii="宋体" w:hAnsi="宋体" w:eastAsia="宋体" w:cs="宋体"/>
                <w:bCs/>
                <w:color w:val="auto"/>
                <w:sz w:val="24"/>
                <w:szCs w:val="24"/>
                <w:highlight w:val="yellow"/>
              </w:rPr>
              <w:t>日17:00前；</w:t>
            </w:r>
          </w:p>
          <w:p>
            <w:pPr>
              <w:ind w:firstLine="482" w:firstLineChars="200"/>
              <w:jc w:val="left"/>
              <w:rPr>
                <w:rFonts w:ascii="宋体" w:hAnsi="宋体" w:eastAsia="宋体" w:cs="宋体"/>
                <w:b/>
                <w:bCs/>
                <w:color w:val="auto"/>
                <w:sz w:val="24"/>
                <w:szCs w:val="24"/>
              </w:rPr>
            </w:pPr>
            <w:r>
              <w:rPr>
                <w:rFonts w:hint="eastAsia" w:ascii="宋体" w:hAnsi="宋体" w:eastAsia="宋体" w:cs="宋体"/>
                <w:b/>
                <w:bCs/>
                <w:color w:val="auto"/>
                <w:sz w:val="24"/>
                <w:szCs w:val="24"/>
              </w:rPr>
              <w:t>提交疑问方式</w:t>
            </w:r>
            <w:r>
              <w:rPr>
                <w:rFonts w:hint="eastAsia" w:ascii="宋体" w:hAnsi="宋体" w:eastAsia="宋体" w:cs="宋体"/>
                <w:color w:val="auto"/>
                <w:sz w:val="24"/>
                <w:szCs w:val="24"/>
              </w:rPr>
              <w:t>：将答疑问题以word文件格式发送至联系人邮件内，并电话联系工作人员查收，</w:t>
            </w:r>
            <w:r>
              <w:rPr>
                <w:rFonts w:hint="eastAsia" w:ascii="宋体" w:hAnsi="宋体" w:eastAsia="宋体" w:cs="宋体"/>
                <w:b/>
                <w:bCs/>
                <w:color w:val="auto"/>
                <w:sz w:val="24"/>
                <w:szCs w:val="24"/>
              </w:rPr>
              <w:t>邮件名格式为：XXX公司（五个字以内公司简称）XX项目答疑文件。</w:t>
            </w:r>
          </w:p>
          <w:p>
            <w:pPr>
              <w:ind w:firstLine="482" w:firstLineChars="200"/>
              <w:jc w:val="left"/>
              <w:rPr>
                <w:rFonts w:ascii="宋体" w:hAnsi="宋体" w:eastAsia="宋体" w:cs="宋体"/>
                <w:color w:val="auto"/>
                <w:sz w:val="24"/>
                <w:szCs w:val="24"/>
              </w:rPr>
            </w:pPr>
            <w:r>
              <w:rPr>
                <w:rFonts w:hint="eastAsia" w:ascii="宋体" w:hAnsi="宋体" w:eastAsia="宋体" w:cs="宋体"/>
                <w:b/>
                <w:bCs/>
                <w:color w:val="auto"/>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auto"/>
                <w:sz w:val="24"/>
                <w:szCs w:val="24"/>
              </w:rPr>
              <w:t>法定代表人授权委托书</w:t>
            </w:r>
            <w:r>
              <w:rPr>
                <w:rFonts w:hint="eastAsia" w:ascii="宋体" w:hAnsi="宋体" w:eastAsia="宋体" w:cs="宋体"/>
                <w:b/>
                <w:bCs/>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领取答疑、澄清和修改文件时间：</w:t>
            </w:r>
            <w:r>
              <w:rPr>
                <w:rFonts w:hint="eastAsia" w:ascii="宋体" w:hAnsi="宋体" w:eastAsia="宋体" w:cs="宋体"/>
                <w:color w:val="auto"/>
                <w:sz w:val="24"/>
                <w:szCs w:val="24"/>
                <w:highlight w:val="yellow"/>
              </w:rPr>
              <w:t>202</w:t>
            </w:r>
            <w:r>
              <w:rPr>
                <w:rFonts w:hint="eastAsia" w:ascii="宋体" w:hAnsi="宋体" w:eastAsia="宋体" w:cs="宋体"/>
                <w:color w:val="auto"/>
                <w:sz w:val="24"/>
                <w:szCs w:val="24"/>
                <w:highlight w:val="yellow"/>
                <w:lang w:val="en-US" w:eastAsia="zh-CN"/>
              </w:rPr>
              <w:t>5</w:t>
            </w:r>
            <w:r>
              <w:rPr>
                <w:rFonts w:hint="eastAsia" w:ascii="宋体" w:hAnsi="宋体" w:eastAsia="宋体" w:cs="宋体"/>
                <w:color w:val="auto"/>
                <w:sz w:val="24"/>
                <w:szCs w:val="24"/>
                <w:highlight w:val="yellow"/>
              </w:rPr>
              <w:t>年</w:t>
            </w:r>
            <w:r>
              <w:rPr>
                <w:rFonts w:hint="eastAsia" w:ascii="宋体" w:hAnsi="宋体" w:eastAsia="宋体" w:cs="宋体"/>
                <w:bCs/>
                <w:color w:val="auto"/>
                <w:sz w:val="24"/>
                <w:szCs w:val="24"/>
                <w:highlight w:val="yellow"/>
                <w:u w:val="single"/>
                <w:lang w:val="en-US" w:eastAsia="zh-CN"/>
              </w:rPr>
              <w:t>6</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lang w:val="en-US" w:eastAsia="zh-CN"/>
              </w:rPr>
              <w:t>29</w:t>
            </w:r>
            <w:r>
              <w:rPr>
                <w:rFonts w:hint="eastAsia" w:ascii="宋体" w:hAnsi="宋体" w:eastAsia="宋体" w:cs="宋体"/>
                <w:bCs/>
                <w:color w:val="auto"/>
                <w:sz w:val="24"/>
                <w:szCs w:val="24"/>
                <w:highlight w:val="yellow"/>
              </w:rPr>
              <w:t>日</w:t>
            </w:r>
            <w:r>
              <w:rPr>
                <w:rFonts w:hint="eastAsia" w:ascii="宋体" w:hAnsi="宋体" w:eastAsia="宋体" w:cs="宋体"/>
                <w:color w:val="auto"/>
                <w:sz w:val="24"/>
                <w:szCs w:val="24"/>
                <w:highlight w:val="yellow"/>
              </w:rPr>
              <w:t>17:00</w:t>
            </w:r>
            <w:r>
              <w:rPr>
                <w:rFonts w:hint="eastAsia" w:ascii="宋体" w:hAnsi="宋体" w:eastAsia="宋体" w:cs="宋体"/>
                <w:color w:val="auto"/>
                <w:sz w:val="24"/>
                <w:szCs w:val="24"/>
              </w:rPr>
              <w:t>前；</w:t>
            </w:r>
          </w:p>
          <w:p>
            <w:pPr>
              <w:shd w:val="clear" w:color="auto" w:fill="FFFFFF" w:themeFill="background1"/>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color w:val="auto"/>
                <w:sz w:val="24"/>
                <w:szCs w:val="24"/>
                <w:highlight w:val="green"/>
              </w:rPr>
            </w:pPr>
            <w:r>
              <w:rPr>
                <w:rFonts w:hint="eastAsia" w:ascii="宋体" w:hAnsi="宋体" w:eastAsia="宋体" w:cs="宋体"/>
                <w:color w:val="auto"/>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framePr w:wrap="auto" w:vAnchor="margin" w:hAnchor="text" w:yAlign="inline"/>
              <w:ind w:firstLine="480"/>
              <w:rPr>
                <w:color w:val="auto"/>
              </w:rPr>
            </w:pPr>
            <w:r>
              <w:rPr>
                <w:rFonts w:hint="eastAsia"/>
                <w:color w:val="auto"/>
              </w:rPr>
              <w:t>报名方式：拟投标人根据招标人在中国重汽官网等公开媒体上发布的招标信息，</w:t>
            </w:r>
            <w:r>
              <w:rPr>
                <w:rFonts w:hint="eastAsia" w:hAnsi="Courier New"/>
                <w:color w:val="auto"/>
              </w:rPr>
              <w:t>在“中国重汽e采通”平台报名</w:t>
            </w:r>
            <w:r>
              <w:rPr>
                <w:rFonts w:hint="eastAsia"/>
                <w:color w:val="auto"/>
              </w:rPr>
              <w:t>。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w:t>
            </w:r>
            <w:r>
              <w:rPr>
                <w:color w:val="auto"/>
              </w:rPr>
              <w:t>-</w:t>
            </w:r>
            <w:r>
              <w:rPr>
                <w:rFonts w:hint="eastAsia"/>
                <w:color w:val="auto"/>
              </w:rPr>
              <w:t>1.13准备资料并上传，资质审查通过即为报名成功</w:t>
            </w:r>
            <w:r>
              <w:rPr>
                <w:rFonts w:hint="eastAsia" w:hAnsi="Courier New"/>
                <w:color w:val="auto"/>
              </w:rPr>
              <w:t>；公示期间请尽快报名</w:t>
            </w: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framePr w:wrap="auto" w:vAnchor="margin" w:hAnchor="text" w:yAlign="inline"/>
              <w:ind w:firstLine="482"/>
              <w:rPr>
                <w:color w:val="auto"/>
                <w:highlight w:val="yellow"/>
              </w:rPr>
            </w:pPr>
            <w:r>
              <w:rPr>
                <w:rFonts w:hint="eastAsia"/>
                <w:b/>
                <w:color w:val="auto"/>
              </w:rPr>
              <w:t>应标截止时间：</w:t>
            </w:r>
            <w:r>
              <w:rPr>
                <w:rFonts w:hint="eastAsia"/>
                <w:color w:val="auto"/>
                <w:highlight w:val="yellow"/>
              </w:rPr>
              <w:t>202</w:t>
            </w:r>
            <w:r>
              <w:rPr>
                <w:rFonts w:hint="eastAsia"/>
                <w:color w:val="auto"/>
                <w:highlight w:val="yellow"/>
                <w:lang w:val="en-US" w:eastAsia="zh-CN"/>
              </w:rPr>
              <w:t>5</w:t>
            </w:r>
            <w:r>
              <w:rPr>
                <w:rFonts w:hint="eastAsia"/>
                <w:color w:val="auto"/>
                <w:highlight w:val="yellow"/>
              </w:rPr>
              <w:t>年</w:t>
            </w:r>
            <w:r>
              <w:rPr>
                <w:rFonts w:hint="eastAsia"/>
                <w:color w:val="auto"/>
                <w:highlight w:val="yellow"/>
                <w:u w:val="single"/>
                <w:lang w:val="en-US" w:eastAsia="zh-CN"/>
              </w:rPr>
              <w:t>6</w:t>
            </w:r>
            <w:r>
              <w:rPr>
                <w:rFonts w:hint="eastAsia"/>
                <w:color w:val="auto"/>
                <w:highlight w:val="yellow"/>
              </w:rPr>
              <w:t>月</w:t>
            </w:r>
            <w:r>
              <w:rPr>
                <w:rFonts w:hint="eastAsia"/>
                <w:color w:val="auto"/>
                <w:highlight w:val="yellow"/>
                <w:u w:val="single"/>
                <w:lang w:val="en-US" w:eastAsia="zh-CN"/>
              </w:rPr>
              <w:t>29</w:t>
            </w:r>
            <w:r>
              <w:rPr>
                <w:rFonts w:hint="eastAsia"/>
                <w:color w:val="auto"/>
                <w:highlight w:val="yellow"/>
              </w:rPr>
              <w:t>日17时00分00秒</w:t>
            </w:r>
          </w:p>
          <w:p>
            <w:pPr>
              <w:pStyle w:val="111"/>
              <w:framePr w:wrap="auto" w:vAnchor="margin" w:hAnchor="text" w:yAlign="inline"/>
              <w:ind w:firstLine="480"/>
              <w:rPr>
                <w:color w:val="auto"/>
                <w:highlight w:val="yellow"/>
              </w:rPr>
            </w:pPr>
            <w:r>
              <w:rPr>
                <w:rFonts w:hint="eastAsia"/>
                <w:color w:val="auto"/>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color w:val="auto"/>
                <w:sz w:val="24"/>
                <w:szCs w:val="24"/>
              </w:rPr>
            </w:pPr>
            <w:r>
              <w:rPr>
                <w:rFonts w:hint="eastAsia" w:eastAsia="宋体" w:cs="宋体"/>
                <w:bCs/>
                <w:color w:val="auto"/>
                <w:sz w:val="24"/>
                <w:szCs w:val="24"/>
              </w:rPr>
              <w:t>本项目投标文件分为</w:t>
            </w:r>
            <w:r>
              <w:rPr>
                <w:rFonts w:hint="eastAsia" w:eastAsia="宋体" w:cs="宋体"/>
                <w:b/>
                <w:color w:val="auto"/>
                <w:sz w:val="24"/>
                <w:szCs w:val="24"/>
              </w:rPr>
              <w:t>纸质版</w:t>
            </w:r>
            <w:r>
              <w:rPr>
                <w:rFonts w:hint="eastAsia" w:eastAsia="宋体" w:cs="宋体"/>
                <w:bCs/>
                <w:color w:val="auto"/>
                <w:sz w:val="24"/>
                <w:szCs w:val="24"/>
              </w:rPr>
              <w:t>投标文件和</w:t>
            </w:r>
            <w:r>
              <w:rPr>
                <w:rFonts w:hint="eastAsia" w:eastAsia="宋体" w:cs="宋体"/>
                <w:b/>
                <w:color w:val="auto"/>
                <w:sz w:val="24"/>
                <w:szCs w:val="24"/>
              </w:rPr>
              <w:t>电子版</w:t>
            </w:r>
            <w:r>
              <w:rPr>
                <w:rFonts w:hint="eastAsia" w:eastAsia="宋体" w:cs="宋体"/>
                <w:bCs/>
                <w:color w:val="auto"/>
                <w:sz w:val="24"/>
                <w:szCs w:val="24"/>
              </w:rPr>
              <w:t>投标文件</w:t>
            </w:r>
            <w:r>
              <w:rPr>
                <w:rFonts w:hint="eastAsia" w:eastAsia="宋体" w:cs="宋体"/>
                <w:bCs/>
                <w:color w:val="auto"/>
                <w:sz w:val="24"/>
                <w:szCs w:val="24"/>
                <w:highlight w:val="yellow"/>
              </w:rPr>
              <w:t>（电子版为纸质盖章版的扫描件）</w:t>
            </w:r>
            <w:r>
              <w:rPr>
                <w:rFonts w:hint="eastAsia" w:eastAsia="宋体" w:cs="宋体"/>
                <w:bCs/>
                <w:color w:val="auto"/>
                <w:sz w:val="24"/>
                <w:szCs w:val="24"/>
              </w:rPr>
              <w:t>，均由</w:t>
            </w:r>
            <w:r>
              <w:rPr>
                <w:rFonts w:hint="eastAsia" w:eastAsia="宋体" w:cs="宋体"/>
                <w:b/>
                <w:color w:val="auto"/>
                <w:sz w:val="24"/>
                <w:szCs w:val="24"/>
              </w:rPr>
              <w:t>《投标文件（资质标）》、《投标文件（商务标）》（开标一览表）</w:t>
            </w:r>
            <w:r>
              <w:rPr>
                <w:rFonts w:hint="eastAsia" w:eastAsia="宋体" w:cs="宋体"/>
                <w:bCs/>
                <w:color w:val="auto"/>
                <w:sz w:val="24"/>
                <w:szCs w:val="24"/>
              </w:rPr>
              <w:t>文件组成，共计</w:t>
            </w:r>
            <w:r>
              <w:rPr>
                <w:rFonts w:hint="eastAsia" w:eastAsia="宋体" w:cs="宋体"/>
                <w:bCs/>
                <w:color w:val="auto"/>
                <w:sz w:val="24"/>
                <w:szCs w:val="24"/>
                <w:lang w:val="en-US" w:eastAsia="zh-CN"/>
              </w:rPr>
              <w:t>2</w:t>
            </w:r>
            <w:r>
              <w:rPr>
                <w:rFonts w:hint="eastAsia" w:eastAsia="宋体" w:cs="宋体"/>
                <w:bCs/>
                <w:color w:val="auto"/>
                <w:sz w:val="24"/>
                <w:szCs w:val="24"/>
              </w:rPr>
              <w:t>个文件</w:t>
            </w:r>
            <w:r>
              <w:rPr>
                <w:rFonts w:hint="eastAsia" w:ascii="宋体" w:hAnsi="宋体" w:eastAsia="宋体" w:cs="宋体"/>
                <w:bCs/>
                <w:color w:val="auto"/>
                <w:sz w:val="24"/>
                <w:szCs w:val="24"/>
              </w:rPr>
              <w:t>。</w:t>
            </w:r>
          </w:p>
          <w:p>
            <w:pPr>
              <w:ind w:firstLine="482" w:firstLineChars="200"/>
              <w:rPr>
                <w:rFonts w:ascii="宋体" w:hAnsi="宋体" w:eastAsia="宋体" w:cs="宋体"/>
                <w:b/>
                <w:color w:val="auto"/>
                <w:sz w:val="24"/>
                <w:szCs w:val="24"/>
              </w:rPr>
            </w:pPr>
            <w:r>
              <w:rPr>
                <w:rFonts w:hint="eastAsia" w:eastAsia="宋体" w:cs="宋体"/>
                <w:b/>
                <w:color w:val="auto"/>
                <w:sz w:val="24"/>
                <w:szCs w:val="24"/>
              </w:rPr>
              <w:t>《投标文件（资质标）》</w:t>
            </w:r>
            <w:r>
              <w:rPr>
                <w:rFonts w:hint="eastAsia" w:ascii="宋体" w:hAnsi="宋体" w:eastAsia="宋体" w:cs="宋体"/>
                <w:bCs/>
                <w:color w:val="auto"/>
                <w:sz w:val="24"/>
                <w:szCs w:val="24"/>
              </w:rPr>
              <w:t>一个文件（里面是全部资质投标书），</w:t>
            </w:r>
            <w:r>
              <w:rPr>
                <w:rFonts w:hint="eastAsia" w:eastAsia="宋体" w:cs="宋体"/>
                <w:b/>
                <w:color w:val="auto"/>
                <w:sz w:val="24"/>
                <w:szCs w:val="24"/>
              </w:rPr>
              <w:t>《投标文件（商务标）》（开标一览表）</w:t>
            </w:r>
            <w:r>
              <w:rPr>
                <w:rFonts w:hint="eastAsia" w:ascii="宋体" w:hAnsi="宋体" w:eastAsia="宋体" w:cs="宋体"/>
                <w:bCs/>
                <w:color w:val="auto"/>
                <w:sz w:val="24"/>
                <w:szCs w:val="24"/>
              </w:rPr>
              <w:t>一个文件（里面是全部商务投标书），</w:t>
            </w:r>
            <w:r>
              <w:rPr>
                <w:rFonts w:hint="eastAsia" w:ascii="宋体" w:hAnsi="宋体" w:eastAsia="宋体" w:cs="宋体"/>
                <w:b/>
                <w:color w:val="auto"/>
                <w:sz w:val="24"/>
                <w:szCs w:val="24"/>
              </w:rPr>
              <w:t>具体组成等详细要求见招标文件第三部分投标文件编制第三条。</w:t>
            </w:r>
          </w:p>
          <w:p>
            <w:pPr>
              <w:ind w:firstLine="480" w:firstLineChars="200"/>
              <w:rPr>
                <w:rFonts w:ascii="宋体" w:hAnsi="宋体" w:eastAsia="宋体" w:cs="宋体"/>
                <w:color w:val="auto"/>
                <w:sz w:val="24"/>
                <w:szCs w:val="24"/>
              </w:rPr>
            </w:pPr>
            <w:r>
              <w:rPr>
                <w:rFonts w:hint="eastAsia" w:ascii="宋体" w:hAnsi="宋体" w:eastAsia="宋体" w:cs="宋体"/>
                <w:bCs/>
                <w:color w:val="auto"/>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color w:val="auto"/>
                <w:sz w:val="24"/>
                <w:szCs w:val="24"/>
              </w:rPr>
            </w:pPr>
            <w:r>
              <w:rPr>
                <w:rFonts w:hint="eastAsia" w:eastAsia="宋体" w:cs="宋体"/>
                <w:b/>
                <w:color w:val="auto"/>
                <w:sz w:val="24"/>
                <w:szCs w:val="24"/>
              </w:rPr>
              <w:t>投标方式：在中国重汽e采通平台应标成功后，进入“供应商投标”环节，投递盖章扫描版电子标书（包含资质标书、商务标书），</w:t>
            </w:r>
            <w:r>
              <w:rPr>
                <w:rFonts w:ascii="宋体" w:hAnsi="宋体" w:eastAsia="宋体" w:cs="宋体"/>
                <w:color w:val="auto"/>
                <w:sz w:val="24"/>
                <w:szCs w:val="24"/>
              </w:rPr>
              <w:t>若逾期未</w:t>
            </w:r>
            <w:r>
              <w:rPr>
                <w:rFonts w:hint="eastAsia" w:ascii="宋体" w:hAnsi="宋体" w:eastAsia="宋体" w:cs="宋体"/>
                <w:color w:val="auto"/>
                <w:sz w:val="24"/>
                <w:szCs w:val="24"/>
              </w:rPr>
              <w:t>在中国</w:t>
            </w:r>
            <w:r>
              <w:rPr>
                <w:rFonts w:ascii="宋体" w:hAnsi="宋体" w:eastAsia="宋体" w:cs="宋体"/>
                <w:color w:val="auto"/>
                <w:sz w:val="24"/>
                <w:szCs w:val="24"/>
              </w:rPr>
              <w:t>重汽e采通</w:t>
            </w:r>
            <w:r>
              <w:rPr>
                <w:rFonts w:hint="eastAsia" w:ascii="宋体" w:hAnsi="宋体" w:eastAsia="宋体" w:cs="宋体"/>
                <w:color w:val="auto"/>
                <w:sz w:val="24"/>
                <w:szCs w:val="24"/>
              </w:rPr>
              <w:t>平台</w:t>
            </w:r>
            <w:r>
              <w:rPr>
                <w:rFonts w:ascii="宋体" w:hAnsi="宋体" w:eastAsia="宋体" w:cs="宋体"/>
                <w:color w:val="auto"/>
                <w:sz w:val="24"/>
                <w:szCs w:val="24"/>
              </w:rPr>
              <w:t>上传</w:t>
            </w:r>
            <w:r>
              <w:rPr>
                <w:rFonts w:hint="eastAsia" w:ascii="宋体" w:hAnsi="宋体" w:eastAsia="宋体" w:cs="宋体"/>
                <w:color w:val="auto"/>
                <w:sz w:val="24"/>
                <w:szCs w:val="24"/>
              </w:rPr>
              <w:t>电子</w:t>
            </w:r>
            <w:r>
              <w:rPr>
                <w:rFonts w:ascii="宋体" w:hAnsi="宋体" w:eastAsia="宋体" w:cs="宋体"/>
                <w:color w:val="auto"/>
                <w:sz w:val="24"/>
                <w:szCs w:val="24"/>
              </w:rPr>
              <w:t>标书，即便递交了纸版投标文件，一律视为无效投标</w:t>
            </w:r>
            <w:r>
              <w:rPr>
                <w:rFonts w:hint="eastAsia" w:eastAsia="宋体" w:cs="宋体"/>
                <w:b/>
                <w:color w:val="auto"/>
                <w:sz w:val="24"/>
                <w:szCs w:val="24"/>
              </w:rPr>
              <w:t>。</w:t>
            </w:r>
          </w:p>
          <w:p>
            <w:pPr>
              <w:ind w:firstLine="420" w:firstLineChars="200"/>
              <w:rPr>
                <w:rFonts w:eastAsia="宋体" w:cs="宋体"/>
                <w:bCs/>
                <w:color w:val="auto"/>
                <w:sz w:val="24"/>
                <w:szCs w:val="24"/>
              </w:rPr>
            </w:pPr>
            <w:r>
              <w:rPr>
                <w:rFonts w:hint="eastAsia"/>
                <w:bCs/>
                <w:color w:val="auto"/>
              </w:rPr>
              <w:t xml:space="preserve"> </w:t>
            </w:r>
            <w:r>
              <w:rPr>
                <w:rFonts w:hint="eastAsia" w:eastAsia="宋体" w:cs="宋体"/>
                <w:bCs/>
                <w:color w:val="auto"/>
                <w:sz w:val="24"/>
                <w:szCs w:val="24"/>
              </w:rPr>
              <w:t>纸质版投标文件的份数要求为</w:t>
            </w:r>
            <w:r>
              <w:rPr>
                <w:rFonts w:hint="eastAsia" w:ascii="宋体" w:hAnsi="宋体" w:eastAsia="宋体" w:cs="宋体"/>
                <w:b/>
                <w:color w:val="auto"/>
                <w:sz w:val="24"/>
                <w:szCs w:val="24"/>
                <w:highlight w:val="yellow"/>
              </w:rPr>
              <w:t>正本一份，</w:t>
            </w:r>
            <w:r>
              <w:rPr>
                <w:rFonts w:hint="eastAsia" w:ascii="宋体" w:hAnsi="宋体" w:eastAsia="宋体" w:cs="宋体"/>
                <w:bCs/>
                <w:color w:val="auto"/>
                <w:sz w:val="24"/>
                <w:szCs w:val="24"/>
              </w:rPr>
              <w:t>资质投标书、商务投标书的</w:t>
            </w:r>
            <w:r>
              <w:rPr>
                <w:rFonts w:hint="eastAsia" w:eastAsia="宋体" w:cs="宋体"/>
                <w:b/>
                <w:color w:val="auto"/>
                <w:sz w:val="24"/>
                <w:szCs w:val="24"/>
              </w:rPr>
              <w:t>同类文件封装在一个包封里，包封表面按照附件13标注文件信息；共计</w:t>
            </w:r>
            <w:r>
              <w:rPr>
                <w:rFonts w:hint="eastAsia" w:eastAsia="宋体" w:cs="宋体"/>
                <w:b/>
                <w:color w:val="auto"/>
                <w:sz w:val="24"/>
                <w:szCs w:val="24"/>
                <w:lang w:val="en-US" w:eastAsia="zh-CN"/>
              </w:rPr>
              <w:t>二</w:t>
            </w:r>
            <w:r>
              <w:rPr>
                <w:rFonts w:hint="eastAsia" w:eastAsia="宋体" w:cs="宋体"/>
                <w:b/>
                <w:color w:val="auto"/>
                <w:sz w:val="24"/>
                <w:szCs w:val="24"/>
              </w:rPr>
              <w:t>个包封</w:t>
            </w:r>
            <w:r>
              <w:rPr>
                <w:rFonts w:hint="eastAsia" w:eastAsia="宋体" w:cs="宋体"/>
                <w:bCs/>
                <w:color w:val="auto"/>
                <w:sz w:val="24"/>
                <w:szCs w:val="24"/>
              </w:rPr>
              <w:t>。</w:t>
            </w:r>
          </w:p>
          <w:p>
            <w:pPr>
              <w:pStyle w:val="16"/>
              <w:framePr w:hSpace="0" w:wrap="auto" w:vAnchor="margin" w:hAnchor="text" w:xAlign="left" w:yAlign="inline"/>
              <w:rPr>
                <w:color w:val="auto"/>
              </w:rPr>
            </w:pPr>
            <w:r>
              <w:rPr>
                <w:rFonts w:hint="eastAsia"/>
                <w:color w:val="auto"/>
              </w:rPr>
              <w:t>如选择到场参与开标，自行携带纸质投标文件于开标前至开标地点即可。</w:t>
            </w:r>
          </w:p>
          <w:p>
            <w:pPr>
              <w:pStyle w:val="16"/>
              <w:framePr w:hSpace="0" w:wrap="auto" w:vAnchor="margin" w:hAnchor="text" w:xAlign="left" w:yAlign="inline"/>
              <w:rPr>
                <w:color w:val="auto"/>
              </w:rPr>
            </w:pPr>
            <w:r>
              <w:rPr>
                <w:rFonts w:hint="eastAsia"/>
                <w:color w:val="auto"/>
              </w:rPr>
              <w:t>如选择线上参与开标，纸质投标文件需在开标日前两天，邮寄到指定地址。</w:t>
            </w:r>
          </w:p>
          <w:p>
            <w:pPr>
              <w:pStyle w:val="16"/>
              <w:framePr w:hSpace="0" w:wrap="auto" w:vAnchor="margin" w:hAnchor="text" w:xAlign="left" w:yAlign="inline"/>
              <w:ind w:firstLine="482"/>
              <w:rPr>
                <w:color w:val="auto"/>
              </w:rPr>
            </w:pPr>
            <w:r>
              <w:rPr>
                <w:rFonts w:hint="eastAsia" w:asciiTheme="minorHAnsi" w:hAnsiTheme="minorHAnsi"/>
                <w:b/>
                <w:color w:val="auto"/>
              </w:rPr>
              <w:t>邮寄地址：</w:t>
            </w:r>
            <w:r>
              <w:rPr>
                <w:rFonts w:hint="eastAsia"/>
                <w:color w:val="auto"/>
                <w:highlight w:val="yellow"/>
              </w:rPr>
              <w:t>山东省济南市槐荫区经十西路3100号</w:t>
            </w:r>
          </w:p>
          <w:p>
            <w:pPr>
              <w:pStyle w:val="16"/>
              <w:framePr w:hSpace="0" w:wrap="auto" w:vAnchor="margin" w:hAnchor="text" w:xAlign="left" w:yAlign="inline"/>
              <w:ind w:firstLine="482"/>
              <w:rPr>
                <w:color w:val="auto"/>
              </w:rPr>
            </w:pPr>
            <w:r>
              <w:rPr>
                <w:rFonts w:hint="eastAsia"/>
                <w:b/>
                <w:color w:val="auto"/>
              </w:rPr>
              <w:t>联系人及联系方式：</w:t>
            </w:r>
            <w:r>
              <w:rPr>
                <w:rFonts w:hint="eastAsia"/>
                <w:color w:val="auto"/>
                <w:highlight w:val="yellow"/>
              </w:rPr>
              <w:t>李苗/13854132324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rPr>
                <w:color w:val="auto"/>
              </w:rPr>
            </w:pPr>
            <w:r>
              <w:rPr>
                <w:rFonts w:hint="eastAsia"/>
                <w:color w:val="auto"/>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spacing w:before="0" w:after="0" w:afterLines="0" w:line="240" w:lineRule="auto"/>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投标文件的装订：</w:t>
            </w:r>
            <w:r>
              <w:rPr>
                <w:rFonts w:hint="eastAsia" w:ascii="宋体" w:hAnsi="宋体" w:eastAsia="宋体" w:cs="宋体"/>
                <w:color w:val="auto"/>
                <w:sz w:val="24"/>
                <w:szCs w:val="24"/>
              </w:rPr>
              <w:t>投标人必须将投标文件按照资质标文件1册、技术标文件1册、商务标文件1册</w:t>
            </w:r>
            <w:r>
              <w:rPr>
                <w:rFonts w:hint="eastAsia" w:ascii="宋体" w:hAnsi="宋体" w:eastAsia="宋体" w:cs="宋体"/>
                <w:b/>
                <w:bCs/>
                <w:color w:val="auto"/>
                <w:sz w:val="24"/>
                <w:szCs w:val="24"/>
              </w:rPr>
              <w:t>分别进行</w:t>
            </w:r>
            <w:r>
              <w:rPr>
                <w:rFonts w:hint="eastAsia" w:ascii="宋体" w:hAnsi="宋体" w:eastAsia="宋体" w:cs="宋体"/>
                <w:bCs/>
                <w:color w:val="auto"/>
                <w:sz w:val="24"/>
                <w:szCs w:val="24"/>
              </w:rPr>
              <w:t>胶装</w:t>
            </w:r>
            <w:r>
              <w:rPr>
                <w:rFonts w:hint="eastAsia" w:ascii="宋体" w:hAnsi="宋体" w:eastAsia="宋体" w:cs="宋体"/>
                <w:color w:val="auto"/>
                <w:sz w:val="24"/>
                <w:szCs w:val="24"/>
              </w:rPr>
              <w:t>，各自不允许超过两册。</w:t>
            </w:r>
          </w:p>
          <w:p>
            <w:pPr>
              <w:pStyle w:val="16"/>
              <w:framePr w:hSpace="0" w:wrap="auto" w:vAnchor="margin" w:hAnchor="text" w:xAlign="left" w:yAlign="inline"/>
              <w:rPr>
                <w:rFonts w:asciiTheme="minorHAnsi" w:hAnsiTheme="minorHAnsi"/>
                <w:color w:val="auto"/>
              </w:rPr>
            </w:pPr>
            <w:r>
              <w:rPr>
                <w:rFonts w:hint="eastAsia"/>
                <w:color w:val="auto"/>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color w:val="auto"/>
                <w:highlight w:val="yellow"/>
              </w:rPr>
            </w:pPr>
            <w:r>
              <w:rPr>
                <w:rFonts w:hint="eastAsia"/>
                <w:b/>
                <w:color w:val="auto"/>
              </w:rPr>
              <w:t>投标文件递交截止时间：</w:t>
            </w:r>
            <w:r>
              <w:rPr>
                <w:rFonts w:hint="eastAsia"/>
                <w:color w:val="auto"/>
                <w:highlight w:val="yellow"/>
                <w:u w:val="single"/>
              </w:rPr>
              <w:t>202</w:t>
            </w:r>
            <w:r>
              <w:rPr>
                <w:rFonts w:hint="eastAsia"/>
                <w:color w:val="auto"/>
                <w:highlight w:val="yellow"/>
                <w:u w:val="single"/>
                <w:lang w:val="en-US" w:eastAsia="zh-CN"/>
              </w:rPr>
              <w:t>5</w:t>
            </w:r>
            <w:r>
              <w:rPr>
                <w:rFonts w:hint="eastAsia"/>
                <w:color w:val="auto"/>
                <w:highlight w:val="yellow"/>
              </w:rPr>
              <w:t>年</w:t>
            </w:r>
            <w:r>
              <w:rPr>
                <w:rFonts w:hint="eastAsia"/>
                <w:color w:val="auto"/>
                <w:highlight w:val="yellow"/>
                <w:u w:val="single"/>
                <w:lang w:val="en-US" w:eastAsia="zh-CN"/>
              </w:rPr>
              <w:t>7</w:t>
            </w:r>
            <w:r>
              <w:rPr>
                <w:rFonts w:hint="eastAsia"/>
                <w:color w:val="auto"/>
                <w:highlight w:val="yellow"/>
              </w:rPr>
              <w:t>月</w:t>
            </w:r>
            <w:r>
              <w:rPr>
                <w:rFonts w:hint="eastAsia"/>
                <w:color w:val="auto"/>
                <w:highlight w:val="yellow"/>
                <w:lang w:val="en-US" w:eastAsia="zh-CN"/>
              </w:rPr>
              <w:t>1</w:t>
            </w:r>
            <w:r>
              <w:rPr>
                <w:rFonts w:hint="eastAsia"/>
                <w:color w:val="auto"/>
                <w:highlight w:val="yellow"/>
              </w:rPr>
              <w:t>日上午9:00:00（北京时间）</w:t>
            </w:r>
          </w:p>
          <w:p>
            <w:pPr>
              <w:pStyle w:val="16"/>
              <w:framePr w:hSpace="0" w:wrap="auto" w:vAnchor="margin" w:hAnchor="text" w:xAlign="left" w:yAlign="inline"/>
              <w:rPr>
                <w:color w:val="auto"/>
                <w:highlight w:val="yellow"/>
              </w:rPr>
            </w:pPr>
            <w:r>
              <w:rPr>
                <w:rFonts w:hint="eastAsia"/>
                <w:color w:val="auto"/>
              </w:rPr>
              <w:t>注：请务必在投标文件递交截止时间前完成投标操作，截止时间精确到秒，逾期将无法投标。请自行掌握时间，避免无法投标</w:t>
            </w:r>
            <w:r>
              <w:rPr>
                <w:rFonts w:hint="eastAsia"/>
                <w:color w:val="auto"/>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投标文件有效期：</w:t>
            </w:r>
            <w:r>
              <w:rPr>
                <w:rFonts w:hint="eastAsia" w:ascii="宋体" w:hAnsi="宋体" w:eastAsia="宋体" w:cs="宋体"/>
                <w:color w:val="auto"/>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投标保证金的缴纳形式：</w:t>
            </w:r>
            <w:r>
              <w:rPr>
                <w:rFonts w:hint="eastAsia" w:ascii="宋体" w:hAnsi="宋体" w:eastAsia="宋体" w:cs="宋体"/>
                <w:color w:val="auto"/>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cyan"/>
              </w:rPr>
            </w:pPr>
            <w:r>
              <w:rPr>
                <w:rFonts w:hint="eastAsia" w:ascii="宋体" w:hAnsi="宋体" w:eastAsia="宋体" w:cs="宋体"/>
                <w:color w:val="auto"/>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开 户 行：中信银行济南舜耕支行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开户名称：中国重汽集团济南特种车有限公司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账    号：7372610182600060547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纳税人识别号：913701007806234860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000元</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color w:val="auto"/>
                <w:sz w:val="24"/>
                <w:szCs w:val="24"/>
                <w:highlight w:val="cyan"/>
              </w:rPr>
            </w:pPr>
            <w:r>
              <w:rPr>
                <w:rFonts w:hint="eastAsia" w:ascii="宋体" w:hAnsi="宋体" w:eastAsia="宋体" w:cs="宋体"/>
                <w:color w:val="auto"/>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color w:val="auto"/>
                <w:sz w:val="24"/>
                <w:szCs w:val="24"/>
              </w:rPr>
            </w:pPr>
            <w:r>
              <w:rPr>
                <w:rFonts w:hint="eastAsia" w:ascii="宋体" w:hAnsi="宋体" w:cs="宋体"/>
                <w:b/>
                <w:bCs/>
                <w:color w:val="auto"/>
                <w:sz w:val="24"/>
                <w:szCs w:val="24"/>
              </w:rPr>
              <w:t>保证金缴纳截止时间：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bCs/>
                <w:color w:val="auto"/>
                <w:sz w:val="24"/>
                <w:szCs w:val="24"/>
                <w:highlight w:val="yellow"/>
                <w:u w:val="single"/>
                <w:lang w:val="en-US" w:eastAsia="zh-CN"/>
              </w:rPr>
              <w:t>6</w:t>
            </w:r>
            <w:r>
              <w:rPr>
                <w:rFonts w:hint="eastAsia" w:ascii="宋体" w:hAnsi="宋体" w:cs="宋体"/>
                <w:bCs/>
                <w:color w:val="auto"/>
                <w:sz w:val="24"/>
                <w:szCs w:val="24"/>
                <w:highlight w:val="yellow"/>
              </w:rPr>
              <w:t>月</w:t>
            </w:r>
            <w:r>
              <w:rPr>
                <w:rFonts w:hint="eastAsia" w:ascii="宋体" w:hAnsi="宋体" w:cs="宋体"/>
                <w:bCs/>
                <w:color w:val="auto"/>
                <w:sz w:val="24"/>
                <w:szCs w:val="24"/>
                <w:highlight w:val="yellow"/>
                <w:u w:val="single"/>
                <w:lang w:val="en-US" w:eastAsia="zh-CN"/>
              </w:rPr>
              <w:t>29</w:t>
            </w:r>
            <w:r>
              <w:rPr>
                <w:rFonts w:hint="eastAsia" w:ascii="宋体" w:hAnsi="宋体" w:cs="宋体"/>
                <w:bCs/>
                <w:color w:val="auto"/>
                <w:sz w:val="24"/>
                <w:szCs w:val="24"/>
                <w:highlight w:val="yellow"/>
              </w:rPr>
              <w:t>日</w:t>
            </w:r>
            <w:r>
              <w:rPr>
                <w:rFonts w:hint="eastAsia" w:ascii="宋体" w:hAnsi="宋体" w:cs="宋体"/>
                <w:color w:val="auto"/>
                <w:sz w:val="24"/>
                <w:szCs w:val="24"/>
                <w:highlight w:val="yellow"/>
              </w:rPr>
              <w:t>1</w:t>
            </w:r>
            <w:r>
              <w:rPr>
                <w:rFonts w:ascii="宋体" w:hAnsi="宋体" w:cs="宋体"/>
                <w:color w:val="auto"/>
                <w:sz w:val="24"/>
                <w:szCs w:val="24"/>
                <w:highlight w:val="yellow"/>
              </w:rPr>
              <w:t>7</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0前（同应标截止时间）</w:t>
            </w:r>
          </w:p>
          <w:p>
            <w:pPr>
              <w:pStyle w:val="34"/>
              <w:spacing w:after="0" w:line="240" w:lineRule="auto"/>
              <w:ind w:left="0" w:leftChars="0" w:firstLine="480"/>
              <w:rPr>
                <w:rFonts w:ascii="宋体" w:hAnsi="宋体" w:cs="宋体"/>
                <w:color w:val="auto"/>
                <w:sz w:val="24"/>
                <w:szCs w:val="24"/>
              </w:rPr>
            </w:pPr>
            <w:r>
              <w:rPr>
                <w:rFonts w:hint="eastAsia" w:ascii="宋体" w:hAnsi="宋体" w:cs="宋体"/>
                <w:color w:val="auto"/>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color w:val="auto"/>
                <w:sz w:val="24"/>
                <w:szCs w:val="24"/>
              </w:rPr>
            </w:pPr>
            <w:r>
              <w:rPr>
                <w:rFonts w:hint="eastAsia" w:ascii="宋体" w:hAnsi="宋体" w:cs="宋体"/>
                <w:color w:val="auto"/>
                <w:sz w:val="24"/>
                <w:szCs w:val="24"/>
              </w:rPr>
              <w:t>对于没有中标的投标人，投标保证金将于招标人内部完成中标人评审并确认最终中标人后在30工作日内予以原路返还；对于中标方，投标保证金将在签订合同后30个工作日内原路返还。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开标时间：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eastAsia="宋体" w:cs="宋体"/>
                <w:bCs/>
                <w:color w:val="auto"/>
                <w:sz w:val="24"/>
                <w:szCs w:val="24"/>
                <w:highlight w:val="yellow"/>
                <w:u w:val="single"/>
                <w:lang w:val="en-US" w:eastAsia="zh-CN"/>
              </w:rPr>
              <w:t>7</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1</w:t>
            </w:r>
            <w:r>
              <w:rPr>
                <w:rFonts w:hint="eastAsia" w:ascii="宋体" w:hAnsi="宋体" w:eastAsia="宋体" w:cs="宋体"/>
                <w:bCs/>
                <w:color w:val="auto"/>
                <w:sz w:val="24"/>
                <w:szCs w:val="24"/>
                <w:highlight w:val="yellow"/>
              </w:rPr>
              <w:t>日</w:t>
            </w:r>
            <w:r>
              <w:rPr>
                <w:rFonts w:hint="eastAsia" w:ascii="宋体" w:hAnsi="宋体" w:cs="宋体"/>
                <w:color w:val="auto"/>
                <w:sz w:val="24"/>
                <w:szCs w:val="24"/>
                <w:highlight w:val="yellow"/>
              </w:rPr>
              <w:t>9:</w:t>
            </w:r>
            <w:r>
              <w:rPr>
                <w:rFonts w:ascii="宋体" w:hAnsi="宋体" w:cs="宋体"/>
                <w:color w:val="auto"/>
                <w:sz w:val="24"/>
                <w:szCs w:val="24"/>
                <w:highlight w:val="yellow"/>
              </w:rPr>
              <w:t>0</w:t>
            </w:r>
            <w:r>
              <w:rPr>
                <w:rFonts w:hint="eastAsia" w:ascii="宋体" w:hAnsi="宋体" w:cs="宋体"/>
                <w:color w:val="auto"/>
                <w:sz w:val="24"/>
                <w:szCs w:val="24"/>
                <w:highlight w:val="yellow"/>
              </w:rPr>
              <w:t>0:00</w:t>
            </w:r>
            <w:r>
              <w:rPr>
                <w:rFonts w:hint="eastAsia" w:ascii="宋体" w:hAnsi="宋体" w:eastAsia="宋体" w:cs="宋体"/>
                <w:color w:val="auto"/>
                <w:kern w:val="0"/>
                <w:sz w:val="24"/>
                <w:szCs w:val="24"/>
                <w:highlight w:val="yellow"/>
              </w:rPr>
              <w:t>。</w:t>
            </w:r>
            <w:r>
              <w:rPr>
                <w:rFonts w:hint="eastAsia" w:ascii="宋体" w:hAnsi="宋体" w:eastAsia="宋体" w:cs="宋体"/>
                <w:color w:val="auto"/>
                <w:kern w:val="0"/>
                <w:sz w:val="24"/>
                <w:szCs w:val="24"/>
                <w:highlight w:val="yellow"/>
                <w:lang w:eastAsia="zh-CN"/>
              </w:rPr>
              <w:t>（</w:t>
            </w:r>
            <w:r>
              <w:rPr>
                <w:rFonts w:hint="eastAsia" w:ascii="宋体" w:hAnsi="宋体" w:eastAsia="宋体" w:cs="宋体"/>
                <w:color w:val="auto"/>
                <w:kern w:val="0"/>
                <w:sz w:val="24"/>
                <w:szCs w:val="24"/>
                <w:highlight w:val="yellow"/>
                <w:lang w:val="en-US" w:eastAsia="zh-CN"/>
              </w:rPr>
              <w:t>如有变动，将另行通知</w:t>
            </w:r>
            <w:bookmarkStart w:id="1259" w:name="_GoBack"/>
            <w:bookmarkEnd w:id="1259"/>
            <w:r>
              <w:rPr>
                <w:rFonts w:hint="eastAsia" w:ascii="宋体" w:hAnsi="宋体" w:eastAsia="宋体" w:cs="宋体"/>
                <w:color w:val="auto"/>
                <w:kern w:val="0"/>
                <w:sz w:val="24"/>
                <w:szCs w:val="24"/>
                <w:highlight w:val="yellow"/>
                <w:lang w:eastAsia="zh-CN"/>
              </w:rPr>
              <w:t>）</w:t>
            </w:r>
          </w:p>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开标地点：</w:t>
            </w:r>
            <w:r>
              <w:rPr>
                <w:rFonts w:hint="eastAsia" w:ascii="宋体" w:hAnsi="宋体" w:eastAsia="宋体" w:cs="Times New Roman"/>
                <w:color w:val="auto"/>
                <w:sz w:val="24"/>
                <w:szCs w:val="24"/>
                <w:highlight w:val="yellow"/>
              </w:rPr>
              <w:t>山东省济南市</w:t>
            </w:r>
            <w:r>
              <w:rPr>
                <w:rFonts w:hint="eastAsia" w:hAnsi="宋体" w:eastAsia="宋体" w:cs="Times New Roman"/>
                <w:color w:val="auto"/>
                <w:sz w:val="24"/>
                <w:szCs w:val="24"/>
                <w:highlight w:val="yellow"/>
              </w:rPr>
              <w:t>槐荫区经十西路3100号中国重汽集团济南特种车有限公司北楼2楼保密会议室</w:t>
            </w:r>
            <w:r>
              <w:rPr>
                <w:rFonts w:hint="eastAsia" w:ascii="宋体"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评标方法：资质标审核→商务标评审。</w:t>
            </w:r>
            <w:r>
              <w:rPr>
                <w:rFonts w:hint="eastAsia" w:ascii="宋体" w:hAnsi="宋体" w:eastAsia="宋体" w:cs="宋体"/>
                <w:b/>
                <w:bCs/>
                <w:color w:val="auto"/>
                <w:sz w:val="24"/>
                <w:szCs w:val="24"/>
                <w:lang w:val="en-US" w:eastAsia="zh-CN"/>
              </w:rPr>
              <w:t>资质</w:t>
            </w:r>
            <w:r>
              <w:rPr>
                <w:rFonts w:hint="eastAsia" w:ascii="宋体" w:hAnsi="宋体" w:eastAsia="宋体" w:cs="宋体"/>
                <w:b/>
                <w:bCs/>
                <w:color w:val="auto"/>
                <w:sz w:val="24"/>
                <w:szCs w:val="24"/>
              </w:rPr>
              <w:t>标入围后，原则上选取</w:t>
            </w:r>
            <w:r>
              <w:rPr>
                <w:rFonts w:hint="eastAsia" w:ascii="宋体" w:hAnsi="宋体" w:eastAsia="宋体" w:cs="Times New Roman"/>
                <w:b/>
                <w:bCs/>
                <w:color w:val="auto"/>
                <w:sz w:val="24"/>
                <w:szCs w:val="24"/>
              </w:rPr>
              <w:t>合理最低价中标</w:t>
            </w:r>
            <w:r>
              <w:rPr>
                <w:rFonts w:hint="eastAsia" w:ascii="宋体" w:hAnsi="宋体" w:eastAsia="宋体" w:cs="宋体"/>
                <w:color w:val="auto"/>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b/>
                <w:bCs/>
                <w:color w:val="auto"/>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color w:val="auto"/>
              </w:rPr>
            </w:pPr>
            <w:r>
              <w:rPr>
                <w:rFonts w:hint="eastAsia"/>
                <w:b/>
                <w:color w:val="auto"/>
              </w:rPr>
              <w:t>交货期：自合同签字生效之日起，10日历日之内交货至供货地点</w:t>
            </w:r>
            <w:r>
              <w:rPr>
                <w:rFonts w:hint="eastAsia"/>
                <w:color w:val="auto"/>
              </w:rPr>
              <w:t>。</w:t>
            </w:r>
          </w:p>
          <w:p>
            <w:pPr>
              <w:pStyle w:val="16"/>
              <w:framePr w:hSpace="0" w:wrap="auto" w:vAnchor="margin" w:hAnchor="text" w:xAlign="left" w:yAlign="inline"/>
              <w:rPr>
                <w:color w:val="auto"/>
              </w:rPr>
            </w:pPr>
            <w:r>
              <w:rPr>
                <w:rFonts w:hint="eastAsia"/>
                <w:color w:val="auto"/>
              </w:rPr>
              <w:t>接续</w:t>
            </w:r>
            <w:r>
              <w:rPr>
                <w:rFonts w:hint="eastAsia"/>
                <w:color w:val="auto"/>
                <w:lang w:val="en-US" w:eastAsia="zh-CN"/>
              </w:rPr>
              <w:t>15</w:t>
            </w:r>
            <w:r>
              <w:rPr>
                <w:rFonts w:hint="eastAsia"/>
                <w:color w:val="auto"/>
              </w:rPr>
              <w:t>个日历日之内安装调试完毕。</w:t>
            </w:r>
          </w:p>
          <w:p>
            <w:pPr>
              <w:pStyle w:val="16"/>
              <w:framePr w:hSpace="0" w:wrap="auto" w:vAnchor="margin" w:hAnchor="text" w:xAlign="left" w:yAlign="inline"/>
              <w:rPr>
                <w:color w:val="auto"/>
              </w:rPr>
            </w:pPr>
            <w:r>
              <w:rPr>
                <w:rFonts w:hint="eastAsia"/>
                <w:color w:val="auto"/>
              </w:rPr>
              <w:t>接续30个日历日之内完成终验收。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color w:val="auto"/>
              </w:rPr>
            </w:pPr>
            <w:r>
              <w:rPr>
                <w:rFonts w:hint="eastAsia"/>
                <w:b/>
                <w:color w:val="auto"/>
              </w:rPr>
              <w:t>交货方式：</w:t>
            </w:r>
            <w:r>
              <w:rPr>
                <w:rFonts w:hint="eastAsia"/>
                <w:color w:val="auto"/>
              </w:rPr>
              <w:t>交钥匙方式；</w:t>
            </w:r>
          </w:p>
          <w:p>
            <w:pPr>
              <w:pStyle w:val="16"/>
              <w:framePr w:hSpace="0" w:wrap="auto" w:vAnchor="margin" w:hAnchor="text" w:xAlign="left" w:yAlign="inline"/>
              <w:rPr>
                <w:color w:val="auto"/>
              </w:rPr>
            </w:pPr>
            <w:r>
              <w:rPr>
                <w:rFonts w:hint="eastAsia"/>
                <w:color w:val="auto"/>
              </w:rPr>
              <w:t>交货地点：山东省济南市槐荫区经十西路3100号中国重汽集团济南特种车有限公司厂区。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质保期：自设备验收文件最终签署之日起</w:t>
            </w:r>
            <w:r>
              <w:rPr>
                <w:rFonts w:hint="eastAsia" w:ascii="宋体" w:hAnsi="宋体" w:eastAsia="宋体" w:cs="宋体"/>
                <w:b/>
                <w:color w:val="auto"/>
                <w:sz w:val="24"/>
                <w:szCs w:val="24"/>
                <w:u w:val="single"/>
                <w:lang w:val="en-US" w:eastAsia="zh-CN"/>
              </w:rPr>
              <w:t>壹拾贰</w:t>
            </w:r>
            <w:r>
              <w:rPr>
                <w:rFonts w:hint="eastAsia" w:ascii="宋体" w:hAnsi="宋体" w:eastAsia="宋体" w:cs="宋体"/>
                <w:b/>
                <w:color w:val="auto"/>
                <w:sz w:val="24"/>
                <w:szCs w:val="24"/>
                <w:lang w:val="en-US" w:eastAsia="zh-CN"/>
              </w:rPr>
              <w:t>个月</w:t>
            </w:r>
            <w:r>
              <w:rPr>
                <w:rFonts w:hint="eastAsia" w:ascii="宋体" w:hAnsi="宋体" w:eastAsia="宋体" w:cs="宋体"/>
                <w:b/>
                <w:color w:val="auto"/>
                <w:sz w:val="24"/>
                <w:szCs w:val="24"/>
              </w:rPr>
              <w:t>。</w:t>
            </w:r>
            <w:r>
              <w:rPr>
                <w:rFonts w:hint="eastAsia" w:ascii="宋体" w:hAnsi="宋体" w:eastAsia="宋体" w:cs="宋体"/>
                <w:color w:val="auto"/>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framePr w:hSpace="0" w:wrap="auto" w:vAnchor="margin" w:hAnchor="text" w:xAlign="left" w:yAlign="inline"/>
              <w:rPr>
                <w:color w:val="auto"/>
                <w:highlight w:val="yellow"/>
              </w:rPr>
            </w:pPr>
            <w:r>
              <w:rPr>
                <w:rFonts w:hint="eastAsia"/>
                <w:color w:val="auto"/>
              </w:rPr>
              <w:t>付款方式：</w:t>
            </w:r>
            <w:r>
              <w:rPr>
                <w:rFonts w:hint="eastAsia"/>
                <w:color w:val="auto"/>
                <w:highlight w:val="yellow"/>
              </w:rPr>
              <w:t>半年期商业汇票（包括银行承兑汇票或商业承兑汇票）：</w:t>
            </w:r>
          </w:p>
          <w:p>
            <w:pPr>
              <w:pStyle w:val="16"/>
              <w:framePr w:hSpace="0" w:wrap="auto" w:vAnchor="margin" w:hAnchor="text" w:xAlign="left" w:yAlign="inline"/>
              <w:rPr>
                <w:color w:val="auto"/>
              </w:rPr>
            </w:pPr>
            <w:r>
              <w:rPr>
                <w:rFonts w:hint="eastAsia"/>
                <w:color w:val="auto"/>
              </w:rPr>
              <w:t>（</w:t>
            </w:r>
            <w:r>
              <w:rPr>
                <w:color w:val="auto"/>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pPr>
              <w:pStyle w:val="16"/>
              <w:framePr w:hSpace="0" w:wrap="auto" w:vAnchor="margin" w:hAnchor="text" w:xAlign="left" w:yAlign="inline"/>
              <w:rPr>
                <w:color w:val="auto"/>
                <w:highlight w:val="yellow"/>
              </w:rPr>
            </w:pPr>
            <w:r>
              <w:rPr>
                <w:rFonts w:hint="eastAsia"/>
                <w:color w:val="auto"/>
              </w:rPr>
              <w:t>（</w:t>
            </w:r>
            <w:r>
              <w:rPr>
                <w:color w:val="auto"/>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pPr>
              <w:pStyle w:val="16"/>
              <w:framePr w:hSpace="0" w:wrap="auto" w:vAnchor="margin" w:hAnchor="text" w:xAlign="left" w:yAlign="inline"/>
              <w:rPr>
                <w:color w:val="auto"/>
                <w:highlight w:val="yellow"/>
              </w:rPr>
            </w:pPr>
          </w:p>
          <w:p>
            <w:pPr>
              <w:pStyle w:val="16"/>
              <w:framePr w:hSpace="0" w:wrap="auto" w:vAnchor="margin" w:hAnchor="text" w:xAlign="left" w:yAlign="inline"/>
              <w:rPr>
                <w:color w:val="auto"/>
                <w:highlight w:val="yellow"/>
              </w:rPr>
            </w:pPr>
          </w:p>
          <w:p>
            <w:pPr>
              <w:pStyle w:val="34"/>
              <w:adjustRightInd w:val="0"/>
              <w:spacing w:after="0" w:line="240" w:lineRule="auto"/>
              <w:ind w:left="0" w:leftChars="0" w:firstLine="0" w:firstLineChars="0"/>
              <w:rPr>
                <w:rFonts w:ascii="宋体" w:hAnsi="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增值税专用发票开票信息：</w:t>
            </w:r>
          </w:p>
          <w:p>
            <w:pPr>
              <w:ind w:firstLine="480" w:firstLineChars="200"/>
              <w:rPr>
                <w:rFonts w:ascii="宋体" w:hAnsi="宋体" w:cs="宋体"/>
                <w:bCs/>
                <w:color w:val="auto"/>
                <w:sz w:val="24"/>
                <w:szCs w:val="24"/>
              </w:rPr>
            </w:pPr>
            <w:r>
              <w:rPr>
                <w:rFonts w:hint="eastAsia" w:ascii="宋体" w:hAnsi="宋体" w:eastAsia="宋体" w:cs="宋体"/>
                <w:color w:val="auto"/>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color w:val="auto"/>
                <w:sz w:val="24"/>
                <w:szCs w:val="24"/>
              </w:rPr>
            </w:pPr>
            <w:r>
              <w:rPr>
                <w:rFonts w:hint="eastAsia" w:ascii="宋体" w:hAnsi="宋体" w:eastAsia="宋体" w:cs="宋体"/>
                <w:b/>
                <w:bCs/>
                <w:color w:val="auto"/>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中标方应在合同签订后</w:t>
            </w:r>
            <w:r>
              <w:rPr>
                <w:rFonts w:hint="eastAsia" w:ascii="宋体" w:hAnsi="宋体" w:eastAsia="宋体" w:cs="宋体"/>
                <w:color w:val="auto"/>
                <w:sz w:val="24"/>
                <w:szCs w:val="24"/>
                <w:highlight w:val="yellow"/>
              </w:rPr>
              <w:t>20</w:t>
            </w:r>
            <w:r>
              <w:rPr>
                <w:rFonts w:hint="eastAsia" w:ascii="宋体" w:hAnsi="宋体" w:eastAsia="宋体" w:cs="宋体"/>
                <w:color w:val="auto"/>
                <w:sz w:val="24"/>
                <w:szCs w:val="24"/>
              </w:rPr>
              <w:t>日内需根据设计</w:t>
            </w:r>
            <w:r>
              <w:rPr>
                <w:rStyle w:val="41"/>
                <w:rFonts w:hint="eastAsia" w:ascii="宋体" w:hAnsi="宋体" w:eastAsia="宋体" w:cs="宋体"/>
                <w:color w:val="auto"/>
                <w:sz w:val="24"/>
                <w:szCs w:val="24"/>
              </w:rPr>
              <w:t>提资</w:t>
            </w:r>
            <w:r>
              <w:rPr>
                <w:rFonts w:hint="eastAsia" w:ascii="宋体" w:hAnsi="宋体" w:eastAsia="宋体" w:cs="宋体"/>
                <w:color w:val="auto"/>
                <w:sz w:val="24"/>
                <w:szCs w:val="24"/>
              </w:rPr>
              <w:t>要求提供详细的</w:t>
            </w:r>
            <w:r>
              <w:rPr>
                <w:rStyle w:val="41"/>
                <w:rFonts w:hint="eastAsia" w:ascii="宋体" w:hAnsi="宋体" w:eastAsia="宋体" w:cs="宋体"/>
                <w:color w:val="auto"/>
                <w:sz w:val="24"/>
                <w:szCs w:val="24"/>
              </w:rPr>
              <w:t>设备</w:t>
            </w:r>
            <w:r>
              <w:rPr>
                <w:rFonts w:hint="eastAsia" w:ascii="宋体" w:hAnsi="宋体" w:eastAsia="宋体" w:cs="宋体"/>
                <w:color w:val="auto"/>
                <w:sz w:val="24"/>
                <w:szCs w:val="24"/>
              </w:rPr>
              <w:t>图纸等资料,其中包含</w:t>
            </w:r>
            <w:r>
              <w:rPr>
                <w:rStyle w:val="41"/>
                <w:rFonts w:hint="eastAsia" w:ascii="宋体" w:hAnsi="宋体" w:eastAsia="宋体" w:cs="宋体"/>
                <w:color w:val="auto"/>
                <w:sz w:val="24"/>
                <w:szCs w:val="24"/>
              </w:rPr>
              <w:t>设备</w:t>
            </w:r>
            <w:r>
              <w:rPr>
                <w:rFonts w:hint="eastAsia" w:ascii="宋体" w:hAnsi="宋体" w:eastAsia="宋体" w:cs="宋体"/>
                <w:color w:val="auto"/>
                <w:sz w:val="24"/>
                <w:szCs w:val="24"/>
              </w:rPr>
              <w:t>的外形尺寸,运维空间</w:t>
            </w:r>
            <w:r>
              <w:rPr>
                <w:rStyle w:val="41"/>
                <w:rFonts w:hint="eastAsia" w:ascii="宋体" w:hAnsi="宋体" w:eastAsia="宋体" w:cs="宋体"/>
                <w:color w:val="auto"/>
                <w:sz w:val="24"/>
                <w:szCs w:val="24"/>
              </w:rPr>
              <w:t>,设备</w:t>
            </w:r>
            <w:r>
              <w:rPr>
                <w:rFonts w:hint="eastAsia" w:ascii="宋体" w:hAnsi="宋体" w:eastAsia="宋体" w:cs="宋体"/>
                <w:color w:val="auto"/>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bl>
    <w:p>
      <w:pPr>
        <w:pStyle w:val="16"/>
        <w:framePr w:wrap="around"/>
        <w:numPr>
          <w:ilvl w:val="0"/>
          <w:numId w:val="1"/>
        </w:numPr>
        <w:ind w:firstLineChars="0"/>
        <w:rPr>
          <w:color w:val="auto"/>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framePr w:wrap="around"/>
        <w:rPr>
          <w:rFonts w:hint="eastAsia"/>
          <w:color w:val="auto"/>
        </w:rPr>
      </w:pPr>
      <w:bookmarkStart w:id="2" w:name="_Toc15609"/>
    </w:p>
    <w:p>
      <w:pPr>
        <w:pStyle w:val="16"/>
        <w:framePr w:wrap="around"/>
        <w:rPr>
          <w:rFonts w:hint="eastAsia"/>
          <w:color w:val="auto"/>
        </w:rPr>
      </w:pPr>
    </w:p>
    <w:p>
      <w:pPr>
        <w:pStyle w:val="16"/>
        <w:framePr w:wrap="around"/>
        <w:rPr>
          <w:rFonts w:hint="eastAsia"/>
          <w:color w:val="auto"/>
        </w:rPr>
      </w:pPr>
    </w:p>
    <w:p>
      <w:pPr>
        <w:pStyle w:val="16"/>
        <w:framePr w:wrap="around"/>
        <w:rPr>
          <w:color w:val="auto"/>
        </w:rPr>
      </w:pPr>
      <w:r>
        <w:rPr>
          <w:rFonts w:hint="eastAsia"/>
          <w:color w:val="auto"/>
        </w:rPr>
        <w:t>第二部分 投标须知</w:t>
      </w:r>
      <w:bookmarkEnd w:id="2"/>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一、项目名称</w:t>
      </w:r>
    </w:p>
    <w:p>
      <w:pPr>
        <w:spacing w:line="360" w:lineRule="auto"/>
        <w:ind w:left="1679" w:leftChars="228" w:hanging="1200" w:hangingChars="500"/>
        <w:rPr>
          <w:rFonts w:ascii="宋体" w:hAnsi="宋体" w:eastAsia="宋体" w:cs="宋体"/>
          <w:color w:val="auto"/>
          <w:sz w:val="24"/>
          <w:szCs w:val="24"/>
          <w:u w:val="single"/>
        </w:rPr>
      </w:pPr>
      <w:r>
        <w:rPr>
          <w:rFonts w:hint="eastAsia" w:ascii="宋体" w:hAnsi="宋体" w:eastAsia="宋体" w:cs="宋体"/>
          <w:color w:val="auto"/>
          <w:sz w:val="24"/>
          <w:szCs w:val="24"/>
        </w:rPr>
        <w:t>项目名称：</w:t>
      </w:r>
      <w:bookmarkStart w:id="3" w:name="OLE_LINK1"/>
      <w:r>
        <w:rPr>
          <w:rFonts w:hint="eastAsia" w:ascii="宋体" w:hAnsi="宋体" w:eastAsia="宋体" w:cs="宋体"/>
          <w:color w:val="auto"/>
          <w:sz w:val="24"/>
          <w:szCs w:val="24"/>
        </w:rPr>
        <w:t>见《投标须知前附表》。</w:t>
      </w:r>
    </w:p>
    <w:bookmarkEnd w:id="3"/>
    <w:p>
      <w:pPr>
        <w:keepNext/>
        <w:keepLines/>
        <w:numPr>
          <w:ilvl w:val="0"/>
          <w:numId w:val="2"/>
        </w:numPr>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招标内容及形式</w:t>
      </w:r>
    </w:p>
    <w:p>
      <w:pPr>
        <w:spacing w:line="360" w:lineRule="auto"/>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具体要求详见《技术标书》。</w:t>
      </w:r>
    </w:p>
    <w:p>
      <w:pPr>
        <w:keepNext/>
        <w:keepLines/>
        <w:numPr>
          <w:ilvl w:val="0"/>
          <w:numId w:val="2"/>
        </w:numPr>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交货及付款</w:t>
      </w:r>
      <w:r>
        <w:rPr>
          <w:rFonts w:hint="eastAsia" w:ascii="宋体" w:hAnsi="宋体" w:eastAsia="宋体" w:cs="宋体"/>
          <w:b/>
          <w:bCs/>
          <w:color w:val="auto"/>
          <w:sz w:val="24"/>
          <w:szCs w:val="24"/>
        </w:rPr>
        <w:tab/>
      </w:r>
    </w:p>
    <w:p>
      <w:pPr>
        <w:pStyle w:val="16"/>
        <w:framePr w:wrap="around"/>
        <w:rPr>
          <w:color w:val="auto"/>
        </w:rPr>
      </w:pPr>
      <w:r>
        <w:rPr>
          <w:rFonts w:hint="eastAsia"/>
          <w:color w:val="auto"/>
        </w:rPr>
        <w:t>交货期、交货地点、交货方式、付款方式及比例见《投标须知前附表》第7条。</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四、投标说明</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1.报名方式</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auto"/>
          <w:sz w:val="24"/>
          <w:szCs w:val="24"/>
        </w:rPr>
        <w:t>注册完毕后按照</w:t>
      </w:r>
      <w:r>
        <w:rPr>
          <w:rFonts w:hint="eastAsia" w:ascii="宋体" w:hAnsi="宋体" w:eastAsia="宋体" w:cs="宋体"/>
          <w:b/>
          <w:color w:val="auto"/>
          <w:sz w:val="24"/>
          <w:szCs w:val="24"/>
        </w:rPr>
        <w:t>“SRM系统供应商用户手册（附件16）”登录系统，</w:t>
      </w:r>
      <w:r>
        <w:rPr>
          <w:rFonts w:hint="eastAsia" w:ascii="宋体" w:hAnsi="宋体" w:eastAsia="宋体" w:cs="宋体"/>
          <w:color w:val="auto"/>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投标保证金缴纳的时候，</w:t>
      </w:r>
      <w:r>
        <w:rPr>
          <w:rFonts w:hint="eastAsia" w:ascii="宋体" w:hAnsi="宋体" w:eastAsia="宋体" w:cs="宋体"/>
          <w:b/>
          <w:bCs/>
          <w:color w:val="auto"/>
          <w:sz w:val="24"/>
          <w:szCs w:val="24"/>
        </w:rPr>
        <w:t>务必备注所投标的项目名称</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投标条件</w:t>
      </w:r>
    </w:p>
    <w:p>
      <w:pPr>
        <w:pStyle w:val="16"/>
        <w:framePr w:wrap="around"/>
        <w:rPr>
          <w:color w:val="auto"/>
        </w:rPr>
      </w:pPr>
      <w:r>
        <w:rPr>
          <w:rFonts w:hint="eastAsia"/>
          <w:color w:val="auto"/>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3.报价</w:t>
      </w:r>
    </w:p>
    <w:p>
      <w:pPr>
        <w:pStyle w:val="16"/>
        <w:framePr w:wrap="around"/>
        <w:rPr>
          <w:color w:val="auto"/>
        </w:rPr>
      </w:pPr>
      <w:r>
        <w:rPr>
          <w:rFonts w:hint="eastAsia"/>
          <w:color w:val="auto"/>
        </w:rPr>
        <w:t>3.1本次招投标为</w:t>
      </w:r>
      <w:r>
        <w:rPr>
          <w:rFonts w:hint="eastAsia"/>
          <w:color w:val="auto"/>
          <w:highlight w:val="yellow"/>
        </w:rPr>
        <w:t>公开招标</w:t>
      </w:r>
      <w:r>
        <w:rPr>
          <w:rFonts w:hint="eastAsia"/>
          <w:b/>
          <w:color w:val="auto"/>
        </w:rPr>
        <w:t>；</w:t>
      </w:r>
      <w:r>
        <w:rPr>
          <w:rFonts w:hint="eastAsia"/>
          <w:color w:val="auto"/>
        </w:rPr>
        <w:t>评标流程以及规则详见本部分第六条评标原则。</w:t>
      </w:r>
    </w:p>
    <w:p>
      <w:pPr>
        <w:spacing w:line="360" w:lineRule="auto"/>
        <w:ind w:firstLine="235" w:firstLineChars="98"/>
        <w:rPr>
          <w:rFonts w:ascii="宋体" w:hAnsi="宋体" w:eastAsia="宋体" w:cs="宋体"/>
          <w:color w:val="auto"/>
          <w:sz w:val="24"/>
          <w:szCs w:val="24"/>
        </w:rPr>
      </w:pPr>
      <w:r>
        <w:rPr>
          <w:rFonts w:hint="eastAsia" w:ascii="宋体" w:hAnsi="宋体" w:eastAsia="宋体" w:cs="宋体"/>
          <w:color w:val="auto"/>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3.2</w:t>
      </w:r>
      <w:r>
        <w:rPr>
          <w:rFonts w:hint="eastAsia" w:ascii="宋体" w:hAnsi="宋体" w:eastAsia="宋体" w:cs="宋体"/>
          <w:b/>
          <w:bCs/>
          <w:color w:val="auto"/>
          <w:sz w:val="24"/>
          <w:szCs w:val="24"/>
          <w:highlight w:val="yellow"/>
        </w:rPr>
        <w:t>所有设备的报价货币单位为：</w:t>
      </w:r>
      <w:r>
        <w:rPr>
          <w:rFonts w:hint="eastAsia" w:ascii="宋体" w:hAnsi="宋体" w:eastAsia="宋体" w:cs="宋体"/>
          <w:b/>
          <w:bCs/>
          <w:color w:val="auto"/>
          <w:sz w:val="24"/>
          <w:szCs w:val="24"/>
          <w:highlight w:val="yellow"/>
          <w:u w:val="single"/>
        </w:rPr>
        <w:t xml:space="preserve">         </w:t>
      </w:r>
      <w:r>
        <w:rPr>
          <w:rFonts w:hint="eastAsia" w:ascii="宋体" w:hAnsi="宋体" w:eastAsia="宋体" w:cs="宋体"/>
          <w:b/>
          <w:bCs/>
          <w:color w:val="auto"/>
          <w:sz w:val="24"/>
          <w:szCs w:val="24"/>
          <w:highlight w:val="yellow"/>
        </w:rPr>
        <w:t>元</w:t>
      </w:r>
      <w:r>
        <w:rPr>
          <w:rFonts w:hint="eastAsia" w:ascii="宋体" w:hAnsi="宋体" w:eastAsia="宋体" w:cs="宋体"/>
          <w:b/>
          <w:bCs/>
          <w:color w:val="auto"/>
          <w:sz w:val="24"/>
          <w:szCs w:val="24"/>
        </w:rPr>
        <w:t>【人民币（应同时报含税价和不含税价并写明税率）】</w:t>
      </w:r>
      <w:r>
        <w:rPr>
          <w:rFonts w:hint="eastAsia" w:ascii="宋体" w:hAnsi="宋体" w:eastAsia="宋体" w:cs="宋体"/>
          <w:b/>
          <w:bCs/>
          <w:color w:val="auto"/>
          <w:sz w:val="24"/>
          <w:szCs w:val="24"/>
          <w:highlight w:val="yellow"/>
        </w:rPr>
        <w:t>。</w:t>
      </w:r>
    </w:p>
    <w:p>
      <w:pPr>
        <w:keepNext/>
        <w:keepLines/>
        <w:spacing w:line="360" w:lineRule="auto"/>
        <w:ind w:firstLine="482" w:firstLineChars="200"/>
        <w:outlineLvl w:val="2"/>
        <w:rPr>
          <w:rFonts w:ascii="宋体" w:hAnsi="宋体" w:eastAsia="宋体" w:cs="宋体"/>
          <w:color w:val="auto"/>
          <w:sz w:val="24"/>
          <w:szCs w:val="24"/>
        </w:rPr>
      </w:pPr>
      <w:r>
        <w:rPr>
          <w:rFonts w:hint="eastAsia" w:ascii="宋体" w:hAnsi="宋体" w:eastAsia="宋体" w:cs="宋体"/>
          <w:b/>
          <w:bCs/>
          <w:color w:val="auto"/>
          <w:sz w:val="24"/>
          <w:szCs w:val="24"/>
        </w:rPr>
        <w:t>4.设备要求：</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4.1投标设备技术参数和总体要求按《技术标书》执行；</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4.2设备制造完毕经出厂检验合格后方能发货；</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4.3设备包装按国家或部颁标准执行；</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4.5投标企业按技术规范书提报设备详细技术资料；</w:t>
      </w:r>
    </w:p>
    <w:p>
      <w:pPr>
        <w:pStyle w:val="16"/>
        <w:framePr w:wrap="around"/>
        <w:rPr>
          <w:color w:val="auto"/>
        </w:rPr>
      </w:pPr>
      <w:r>
        <w:rPr>
          <w:rFonts w:hint="eastAsia"/>
          <w:color w:val="auto"/>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framePr w:wrap="around"/>
        <w:rPr>
          <w:color w:val="auto"/>
          <w:highlight w:val="yellow"/>
        </w:rPr>
      </w:pPr>
      <w:r>
        <w:rPr>
          <w:rFonts w:hint="eastAsia"/>
          <w:color w:val="auto"/>
        </w:rPr>
        <w:t>4.7</w:t>
      </w:r>
      <w:r>
        <w:rPr>
          <w:rFonts w:hint="eastAsia"/>
          <w:color w:val="auto"/>
          <w:highlight w:val="yellow"/>
        </w:rPr>
        <w:t>设备设施颜色严格执行我公司企业标准《设备设施颜色标识》（Q/ZZ30070</w:t>
      </w:r>
    </w:p>
    <w:p>
      <w:pPr>
        <w:pStyle w:val="16"/>
        <w:framePr w:wrap="around"/>
        <w:rPr>
          <w:color w:val="auto"/>
        </w:rPr>
      </w:pPr>
      <w:r>
        <w:rPr>
          <w:rFonts w:hint="eastAsia"/>
          <w:color w:val="auto"/>
          <w:highlight w:val="yellow"/>
        </w:rPr>
        <w:t>—2020）</w:t>
      </w:r>
      <w:r>
        <w:rPr>
          <w:rFonts w:hint="eastAsia"/>
          <w:color w:val="auto"/>
        </w:rPr>
        <w:t>。</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5.其他要求</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6.询标</w:t>
      </w:r>
    </w:p>
    <w:p>
      <w:pPr>
        <w:keepNext/>
        <w:keepLines/>
        <w:spacing w:line="360" w:lineRule="auto"/>
        <w:ind w:firstLine="480" w:firstLineChars="200"/>
        <w:rPr>
          <w:rFonts w:ascii="宋体" w:hAnsi="宋体" w:eastAsia="宋体" w:cs="宋体"/>
          <w:b/>
          <w:bCs/>
          <w:color w:val="auto"/>
          <w:sz w:val="24"/>
          <w:szCs w:val="24"/>
        </w:rPr>
      </w:pPr>
      <w:r>
        <w:rPr>
          <w:rFonts w:hint="eastAsia" w:ascii="宋体" w:hAnsi="宋体" w:eastAsia="宋体" w:cs="宋体"/>
          <w:color w:val="auto"/>
          <w:sz w:val="24"/>
          <w:szCs w:val="24"/>
        </w:rPr>
        <w:t>凡对本次招标提出的询问，均以招标人的书面答复为准。</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五、议程安排</w:t>
      </w:r>
    </w:p>
    <w:p>
      <w:pPr>
        <w:keepNext/>
        <w:keepLines/>
        <w:spacing w:line="360" w:lineRule="auto"/>
        <w:ind w:firstLine="482" w:firstLineChars="200"/>
        <w:outlineLvl w:val="2"/>
        <w:rPr>
          <w:rFonts w:ascii="宋体" w:hAnsi="宋体" w:eastAsia="宋体" w:cs="宋体"/>
          <w:color w:val="auto"/>
          <w:sz w:val="24"/>
          <w:szCs w:val="24"/>
        </w:rPr>
      </w:pPr>
      <w:r>
        <w:rPr>
          <w:rFonts w:hint="eastAsia" w:ascii="宋体" w:hAnsi="宋体" w:eastAsia="宋体" w:cs="宋体"/>
          <w:b/>
          <w:bCs/>
          <w:color w:val="auto"/>
          <w:sz w:val="24"/>
          <w:szCs w:val="24"/>
        </w:rPr>
        <w:t>1.发标时间</w:t>
      </w:r>
    </w:p>
    <w:p>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见《投标须知前附表》2.1。</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2.发标方式</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中国重汽官网、山东省阳光采购服务平台等公开媒体公布。</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3.答疑</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见《投标须知前附表》第二条，逾期不受理。</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4.投标报名</w:t>
      </w:r>
    </w:p>
    <w:p>
      <w:pPr>
        <w:keepNext/>
        <w:keepLines/>
        <w:spacing w:line="360" w:lineRule="auto"/>
        <w:ind w:firstLine="482"/>
        <w:rPr>
          <w:rFonts w:ascii="宋体" w:hAnsi="宋体" w:eastAsia="宋体" w:cs="宋体"/>
          <w:color w:val="auto"/>
          <w:sz w:val="24"/>
          <w:szCs w:val="24"/>
        </w:rPr>
      </w:pPr>
      <w:r>
        <w:rPr>
          <w:rFonts w:hint="eastAsia" w:ascii="宋体" w:hAnsi="宋体" w:eastAsia="宋体" w:cs="宋体"/>
          <w:color w:val="auto"/>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color w:val="auto"/>
          <w:sz w:val="24"/>
          <w:szCs w:val="24"/>
          <w:highlight w:val="yellow"/>
        </w:rPr>
        <w:t>（保证金具体金额及缴纳截止时间见《投标须知前附表》4.2和4.3）。</w:t>
      </w:r>
    </w:p>
    <w:p>
      <w:pPr>
        <w:pStyle w:val="111"/>
        <w:framePr w:wrap="around"/>
        <w:ind w:firstLine="480"/>
        <w:rPr>
          <w:color w:val="auto"/>
        </w:rPr>
      </w:pPr>
      <w:r>
        <w:rPr>
          <w:rFonts w:hint="eastAsia"/>
          <w:color w:val="auto"/>
        </w:rPr>
        <w:t>4.2招标人银行账户信息如下：见《投标须知前附表》4.2。</w:t>
      </w:r>
    </w:p>
    <w:p>
      <w:pPr>
        <w:pStyle w:val="111"/>
        <w:framePr w:wrap="around"/>
        <w:ind w:firstLine="480"/>
        <w:rPr>
          <w:color w:val="auto"/>
        </w:rPr>
      </w:pPr>
      <w:r>
        <w:rPr>
          <w:rFonts w:hint="eastAsia"/>
          <w:color w:val="auto"/>
        </w:rPr>
        <w:t>转账附言：公司名称+项目名称+投标保证金；</w:t>
      </w:r>
    </w:p>
    <w:p>
      <w:pPr>
        <w:pStyle w:val="111"/>
        <w:framePr w:wrap="around"/>
        <w:ind w:firstLine="480"/>
        <w:rPr>
          <w:color w:val="auto"/>
        </w:rPr>
      </w:pPr>
      <w:r>
        <w:rPr>
          <w:rFonts w:hint="eastAsia"/>
          <w:color w:val="auto"/>
        </w:rPr>
        <w:t>对于没有中标的投标人，投标保证金将于招标人内部完成中标人评审并确认最终中标人后在30工作日内予以原路返还；对于中标方，投标保证金将在</w:t>
      </w:r>
      <w:r>
        <w:rPr>
          <w:rFonts w:hint="eastAsia"/>
          <w:color w:val="auto"/>
          <w:lang w:val="en-US" w:eastAsia="zh-CN"/>
        </w:rPr>
        <w:t>项目验收</w:t>
      </w:r>
      <w:r>
        <w:rPr>
          <w:rFonts w:hint="eastAsia"/>
          <w:color w:val="auto"/>
        </w:rPr>
        <w:t>后30个工作日内原路返还；</w:t>
      </w:r>
    </w:p>
    <w:p>
      <w:pPr>
        <w:pStyle w:val="111"/>
        <w:framePr w:wrap="around"/>
        <w:ind w:firstLine="480"/>
        <w:rPr>
          <w:color w:val="auto"/>
        </w:rPr>
      </w:pPr>
      <w:r>
        <w:rPr>
          <w:rFonts w:hint="eastAsia"/>
          <w:color w:val="auto"/>
        </w:rPr>
        <w:t>4.3说明</w:t>
      </w:r>
    </w:p>
    <w:p>
      <w:pPr>
        <w:pStyle w:val="111"/>
        <w:framePr w:wrap="around"/>
        <w:ind w:firstLine="480"/>
        <w:rPr>
          <w:color w:val="auto"/>
        </w:rPr>
      </w:pPr>
      <w:r>
        <w:rPr>
          <w:rFonts w:hint="eastAsia"/>
          <w:color w:val="auto"/>
        </w:rPr>
        <w:t>4.3.1 投标人在向招标人出示《投标保证金缴纳凭证》后方可进行投标；</w:t>
      </w:r>
    </w:p>
    <w:p>
      <w:pPr>
        <w:pStyle w:val="111"/>
        <w:framePr w:wrap="around"/>
        <w:ind w:firstLine="480"/>
        <w:rPr>
          <w:color w:val="auto"/>
        </w:rPr>
      </w:pPr>
      <w:r>
        <w:rPr>
          <w:rFonts w:hint="eastAsia"/>
          <w:color w:val="auto"/>
        </w:rPr>
        <w:t>4.3.2 发生以下情况时，招标人有权没收保证金：</w:t>
      </w:r>
    </w:p>
    <w:p>
      <w:pPr>
        <w:pStyle w:val="111"/>
        <w:framePr w:wrap="around"/>
        <w:ind w:firstLine="480"/>
        <w:rPr>
          <w:color w:val="auto"/>
        </w:rPr>
      </w:pPr>
      <w:r>
        <w:rPr>
          <w:rFonts w:hint="eastAsia"/>
          <w:color w:val="auto"/>
        </w:rPr>
        <w:t>4.3.2.1 截至开标前3天，投标人无正当理由且未以书面形式递交说明而在投标截止日不来投标的；</w:t>
      </w:r>
    </w:p>
    <w:p>
      <w:pPr>
        <w:pStyle w:val="111"/>
        <w:framePr w:wrap="around"/>
        <w:ind w:firstLine="480"/>
        <w:rPr>
          <w:color w:val="auto"/>
        </w:rPr>
      </w:pPr>
      <w:r>
        <w:rPr>
          <w:rFonts w:hint="eastAsia"/>
          <w:color w:val="auto"/>
        </w:rPr>
        <w:t>4.3.2.2 投标人递送投标文件后，无正当理由放弃投标的；</w:t>
      </w:r>
    </w:p>
    <w:p>
      <w:pPr>
        <w:pStyle w:val="111"/>
        <w:framePr w:wrap="around"/>
        <w:ind w:firstLine="480"/>
        <w:rPr>
          <w:color w:val="auto"/>
        </w:rPr>
      </w:pPr>
      <w:r>
        <w:rPr>
          <w:rFonts w:hint="eastAsia"/>
          <w:color w:val="auto"/>
        </w:rPr>
        <w:t>4.3.2.3若为视频开标，招标过程中澄清函等资料原件未按要求提交的；</w:t>
      </w:r>
    </w:p>
    <w:p>
      <w:pPr>
        <w:pStyle w:val="111"/>
        <w:framePr w:wrap="around"/>
        <w:ind w:firstLine="480"/>
        <w:rPr>
          <w:color w:val="auto"/>
        </w:rPr>
      </w:pPr>
      <w:r>
        <w:rPr>
          <w:rFonts w:hint="eastAsia"/>
          <w:color w:val="auto"/>
        </w:rPr>
        <w:t>4.3.2.4自中标通知书发出之日起30日内，中标人无正当理由不签订合同的；</w:t>
      </w:r>
    </w:p>
    <w:p>
      <w:pPr>
        <w:pStyle w:val="111"/>
        <w:framePr w:wrap="around"/>
        <w:ind w:firstLine="480"/>
        <w:rPr>
          <w:color w:val="auto"/>
        </w:rPr>
      </w:pPr>
      <w:r>
        <w:rPr>
          <w:rFonts w:hint="eastAsia"/>
          <w:color w:val="auto"/>
        </w:rPr>
        <w:t>4.3.2.5投标人在投标过程中被查实有串标、围标、陪标等违规违纪行为的；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4.3.2.6投标人有违约违规行为或被投诉、举报的，在调查处理期间，保证金暂不退还，待调查处理结束后按有关规定处理。</w:t>
      </w:r>
    </w:p>
    <w:p>
      <w:pPr>
        <w:pStyle w:val="111"/>
        <w:framePr w:wrap="around"/>
        <w:ind w:firstLine="480"/>
        <w:rPr>
          <w:color w:val="auto"/>
        </w:rPr>
      </w:pPr>
      <w:r>
        <w:rPr>
          <w:rFonts w:hint="eastAsia"/>
          <w:color w:val="auto"/>
        </w:rPr>
        <w:t>4.4投标报名截止时间</w:t>
      </w:r>
    </w:p>
    <w:p>
      <w:pPr>
        <w:pStyle w:val="111"/>
        <w:framePr w:wrap="around"/>
        <w:ind w:firstLine="480"/>
        <w:rPr>
          <w:color w:val="auto"/>
        </w:rPr>
      </w:pPr>
      <w:r>
        <w:rPr>
          <w:rFonts w:hint="eastAsia"/>
          <w:color w:val="auto"/>
        </w:rPr>
        <w:t>报名方式：</w:t>
      </w:r>
      <w:r>
        <w:rPr>
          <w:rFonts w:hint="eastAsia"/>
          <w:color w:val="auto"/>
          <w:highlight w:val="yellow"/>
        </w:rPr>
        <w:t>见《投标须知前附表》2.3。</w:t>
      </w:r>
    </w:p>
    <w:p>
      <w:pPr>
        <w:pStyle w:val="111"/>
        <w:framePr w:wrap="around"/>
        <w:ind w:firstLine="480"/>
        <w:rPr>
          <w:color w:val="auto"/>
        </w:rPr>
      </w:pPr>
      <w:r>
        <w:rPr>
          <w:rFonts w:hint="eastAsia"/>
          <w:color w:val="auto"/>
        </w:rPr>
        <w:t>报名提交资料：均为盖章电子扫描版，用“公司名称+文件名称”命名。</w:t>
      </w:r>
    </w:p>
    <w:p>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如果是授权委托人投标，</w:t>
      </w:r>
      <w:r>
        <w:rPr>
          <w:rFonts w:hint="eastAsia" w:ascii="宋体" w:hAnsi="宋体" w:eastAsia="宋体" w:cs="宋体"/>
          <w:color w:val="auto"/>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如果是法人参加投标</w:t>
      </w:r>
      <w:r>
        <w:rPr>
          <w:rFonts w:hint="eastAsia" w:ascii="宋体" w:hAnsi="宋体" w:eastAsia="宋体" w:cs="宋体"/>
          <w:color w:val="auto"/>
          <w:sz w:val="24"/>
          <w:szCs w:val="24"/>
        </w:rPr>
        <w:t>，要提交营业执照副本、法人代表证明文件。</w:t>
      </w:r>
    </w:p>
    <w:p>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如果是代理商投标</w:t>
      </w:r>
      <w:r>
        <w:rPr>
          <w:rFonts w:hint="eastAsia" w:ascii="宋体" w:hAnsi="宋体" w:eastAsia="宋体" w:cs="宋体"/>
          <w:color w:val="auto"/>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5.开标时间</w:t>
      </w:r>
    </w:p>
    <w:p>
      <w:pPr>
        <w:keepNext/>
        <w:keepLines/>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见《投标须知前附表》5.1，若有变动另行通知。</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6.开标方式</w:t>
      </w:r>
    </w:p>
    <w:p>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color w:val="auto"/>
          <w:sz w:val="24"/>
          <w:szCs w:val="24"/>
        </w:rPr>
      </w:pPr>
      <w:bookmarkStart w:id="4" w:name="_Toc33267001"/>
      <w:bookmarkStart w:id="5" w:name="_Toc33265752"/>
      <w:bookmarkStart w:id="6" w:name="_Toc33266627"/>
      <w:bookmarkStart w:id="7" w:name="_Toc33285487"/>
      <w:bookmarkStart w:id="8" w:name="_Toc33266950"/>
      <w:bookmarkStart w:id="9" w:name="_Toc33265653"/>
      <w:bookmarkStart w:id="10" w:name="_Toc33266914"/>
      <w:r>
        <w:rPr>
          <w:rFonts w:hint="eastAsia" w:ascii="宋体" w:hAnsi="宋体" w:eastAsia="宋体" w:cs="宋体"/>
          <w:b/>
          <w:color w:val="auto"/>
          <w:sz w:val="24"/>
          <w:szCs w:val="24"/>
        </w:rPr>
        <w:t>六、评价原则</w:t>
      </w:r>
      <w:bookmarkEnd w:id="4"/>
      <w:bookmarkEnd w:id="5"/>
      <w:bookmarkEnd w:id="6"/>
      <w:bookmarkEnd w:id="7"/>
      <w:bookmarkEnd w:id="8"/>
      <w:bookmarkEnd w:id="9"/>
      <w:bookmarkEnd w:id="10"/>
      <w:bookmarkStart w:id="11" w:name="_Toc395116633"/>
    </w:p>
    <w:bookmarkEnd w:id="11"/>
    <w:p>
      <w:pPr>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1.评标</w:t>
      </w:r>
    </w:p>
    <w:p>
      <w:pPr>
        <w:adjustRightInd w:val="0"/>
        <w:snapToGrid w:val="0"/>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资质</w:t>
      </w:r>
      <w:r>
        <w:rPr>
          <w:rFonts w:hint="eastAsia" w:ascii="宋体" w:hAnsi="宋体" w:eastAsia="宋体" w:cs="宋体"/>
          <w:b/>
          <w:bCs/>
          <w:color w:val="auto"/>
          <w:sz w:val="24"/>
          <w:szCs w:val="24"/>
        </w:rPr>
        <w:t>标入围后，</w:t>
      </w:r>
      <w:r>
        <w:rPr>
          <w:rFonts w:hint="eastAsia" w:ascii="宋体" w:hAnsi="宋体" w:eastAsia="宋体" w:cs="Times New Roman"/>
          <w:b/>
          <w:bCs/>
          <w:color w:val="auto"/>
          <w:sz w:val="24"/>
          <w:szCs w:val="24"/>
        </w:rPr>
        <w:t>原则上</w:t>
      </w:r>
      <w:r>
        <w:rPr>
          <w:rFonts w:hint="eastAsia" w:ascii="宋体" w:hAnsi="宋体" w:eastAsia="宋体" w:cs="宋体"/>
          <w:b/>
          <w:bCs/>
          <w:color w:val="auto"/>
          <w:sz w:val="24"/>
          <w:szCs w:val="24"/>
        </w:rPr>
        <w:t>合理最低价中标</w:t>
      </w:r>
      <w:bookmarkStart w:id="12" w:name="_Toc395116634"/>
      <w:bookmarkStart w:id="13" w:name="_Toc33265654"/>
      <w:bookmarkStart w:id="14" w:name="_Toc33265753"/>
      <w:bookmarkStart w:id="15" w:name="_Toc33285489"/>
      <w:bookmarkStart w:id="16" w:name="_Toc33266951"/>
      <w:bookmarkStart w:id="17" w:name="_Toc33267002"/>
      <w:bookmarkStart w:id="18" w:name="_Toc33266915"/>
      <w:bookmarkStart w:id="19" w:name="_Toc33266628"/>
      <w:r>
        <w:rPr>
          <w:rFonts w:hint="eastAsia" w:ascii="宋体" w:hAnsi="宋体" w:eastAsia="宋体" w:cs="宋体"/>
          <w:color w:val="auto"/>
          <w:sz w:val="24"/>
          <w:szCs w:val="24"/>
        </w:rPr>
        <w:t>。本着公平、公正、公开的原则，在通过</w:t>
      </w:r>
      <w:r>
        <w:rPr>
          <w:rFonts w:hint="eastAsia" w:ascii="宋体" w:hAnsi="宋体" w:eastAsia="宋体" w:cs="宋体"/>
          <w:color w:val="auto"/>
          <w:sz w:val="24"/>
          <w:szCs w:val="24"/>
          <w:lang w:val="en-US" w:eastAsia="zh-CN"/>
        </w:rPr>
        <w:t>资质</w:t>
      </w:r>
      <w:r>
        <w:rPr>
          <w:rFonts w:hint="eastAsia" w:ascii="宋体" w:hAnsi="宋体" w:eastAsia="宋体" w:cs="宋体"/>
          <w:color w:val="auto"/>
          <w:sz w:val="24"/>
          <w:szCs w:val="24"/>
        </w:rPr>
        <w:t>评审后入围的前提下，选择合理最低价确定中标人</w:t>
      </w:r>
      <w:r>
        <w:rPr>
          <w:rFonts w:hint="eastAsia" w:ascii="宋体" w:hAnsi="宋体" w:eastAsia="宋体" w:cs="宋体"/>
          <w:b/>
          <w:color w:val="auto"/>
          <w:sz w:val="24"/>
          <w:szCs w:val="24"/>
        </w:rPr>
        <w:t>，对未中标单位不做任何解释。</w:t>
      </w:r>
    </w:p>
    <w:bookmarkEnd w:id="12"/>
    <w:bookmarkEnd w:id="13"/>
    <w:bookmarkEnd w:id="14"/>
    <w:bookmarkEnd w:id="15"/>
    <w:bookmarkEnd w:id="16"/>
    <w:bookmarkEnd w:id="17"/>
    <w:bookmarkEnd w:id="18"/>
    <w:bookmarkEnd w:id="19"/>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评标流程：</w:t>
      </w:r>
    </w:p>
    <w:p>
      <w:pPr>
        <w:pStyle w:val="16"/>
        <w:framePr w:wrap="around"/>
        <w:rPr>
          <w:color w:val="auto"/>
        </w:rPr>
      </w:pPr>
      <w:r>
        <w:rPr>
          <w:rFonts w:hint="eastAsia"/>
          <w:color w:val="auto"/>
        </w:rPr>
        <w:t>投标文件包含《投标文件（资质标）》、《投标文件（商务标）》（开标一览表），共计</w:t>
      </w:r>
      <w:r>
        <w:rPr>
          <w:rFonts w:hint="eastAsia"/>
          <w:color w:val="auto"/>
          <w:lang w:val="en-US" w:eastAsia="zh-CN"/>
        </w:rPr>
        <w:t>二</w:t>
      </w:r>
      <w:r>
        <w:rPr>
          <w:rFonts w:hint="eastAsia"/>
          <w:color w:val="auto"/>
        </w:rPr>
        <w:t>个文件。</w:t>
      </w:r>
    </w:p>
    <w:p>
      <w:pPr>
        <w:numPr>
          <w:ilvl w:val="0"/>
          <w:numId w:val="5"/>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应标资格审查：在“中国重汽e采通”应标报名时，</w:t>
      </w:r>
      <w:r>
        <w:rPr>
          <w:rFonts w:hint="eastAsia" w:ascii="宋体" w:hAnsi="宋体" w:eastAsia="宋体" w:cs="宋体"/>
          <w:b/>
          <w:bCs/>
          <w:color w:val="auto"/>
          <w:sz w:val="24"/>
          <w:szCs w:val="24"/>
        </w:rPr>
        <w:t>按照第三部分第三条投标文件组成资格证明文件中的1.1-1.12准备资料，上传完毕后，等待审核</w:t>
      </w:r>
      <w:r>
        <w:rPr>
          <w:rFonts w:hint="eastAsia" w:ascii="宋体" w:hAnsi="宋体" w:eastAsia="宋体" w:cs="宋体"/>
          <w:b/>
          <w:color w:val="auto"/>
          <w:sz w:val="24"/>
          <w:szCs w:val="24"/>
        </w:rPr>
        <w:t>；</w:t>
      </w:r>
    </w:p>
    <w:p>
      <w:pPr>
        <w:numPr>
          <w:ilvl w:val="0"/>
          <w:numId w:val="6"/>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通过应标资格审查的单位进入投标环节，按照“SRM系统供应商用户手册（附件16）”，在重汽e采通平台投递电子标书（包含资质标、商务标）；没有通过应标资质审查的单位不能进入投标环节；</w:t>
      </w:r>
    </w:p>
    <w:p>
      <w:pPr>
        <w:numPr>
          <w:ilvl w:val="0"/>
          <w:numId w:val="5"/>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资质标评审：资质标审核通过的单位，可以进入公开唱标环节；</w:t>
      </w:r>
    </w:p>
    <w:p>
      <w:pPr>
        <w:numPr>
          <w:ilvl w:val="0"/>
          <w:numId w:val="7"/>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公开唱标：公示资质标入围单位的开标价格及商务条款响应情况；</w:t>
      </w:r>
    </w:p>
    <w:p>
      <w:pPr>
        <w:numPr>
          <w:ilvl w:val="0"/>
          <w:numId w:val="8"/>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中标人确定：</w:t>
      </w:r>
      <w:r>
        <w:rPr>
          <w:rFonts w:hint="eastAsia" w:ascii="宋体" w:hAnsi="宋体" w:eastAsia="宋体" w:cs="宋体"/>
          <w:b/>
          <w:color w:val="auto"/>
          <w:sz w:val="24"/>
          <w:szCs w:val="24"/>
          <w:lang w:val="en-US" w:eastAsia="zh-CN"/>
        </w:rPr>
        <w:t>资质</w:t>
      </w:r>
      <w:r>
        <w:rPr>
          <w:rFonts w:hint="eastAsia" w:ascii="宋体" w:hAnsi="宋体" w:eastAsia="宋体" w:cs="宋体"/>
          <w:b/>
          <w:color w:val="auto"/>
          <w:sz w:val="24"/>
          <w:szCs w:val="24"/>
        </w:rPr>
        <w:t>标入围后，原则上</w:t>
      </w:r>
      <w:r>
        <w:rPr>
          <w:rFonts w:hint="eastAsia" w:ascii="宋体" w:hAnsi="宋体" w:eastAsia="宋体" w:cs="宋体"/>
          <w:b/>
          <w:bCs/>
          <w:color w:val="auto"/>
          <w:sz w:val="24"/>
          <w:szCs w:val="24"/>
        </w:rPr>
        <w:t>合理最低价</w:t>
      </w:r>
      <w:r>
        <w:rPr>
          <w:rFonts w:hint="eastAsia" w:ascii="宋体" w:hAnsi="宋体" w:eastAsia="宋体" w:cs="宋体"/>
          <w:b/>
          <w:color w:val="auto"/>
          <w:sz w:val="24"/>
          <w:szCs w:val="24"/>
        </w:rPr>
        <w:t>中标。</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lang w:bidi="ar"/>
        </w:rPr>
        <w:t>变更意向中标人</w:t>
      </w:r>
      <w:r>
        <w:rPr>
          <w:rFonts w:hint="eastAsia" w:ascii="宋体" w:hAnsi="宋体" w:eastAsia="宋体" w:cs="宋体"/>
          <w:color w:val="auto"/>
          <w:sz w:val="24"/>
          <w:szCs w:val="24"/>
        </w:rPr>
        <w:t>。</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七、合同签订</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5.合同以双方最终签署的版本为准。</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八、废标及终止招标</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auto"/>
          <w:sz w:val="24"/>
          <w:szCs w:val="24"/>
        </w:rPr>
      </w:pPr>
      <w:r>
        <w:rPr>
          <w:rFonts w:hint="eastAsia" w:ascii="宋体" w:hAnsi="宋体" w:eastAsia="宋体" w:cs="宋体"/>
          <w:color w:val="auto"/>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（2）投标人在报价有效期内撤回投标；</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（4）投标人以任何方式诋毁其他投标人；</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（5）投标人串通投标；</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（6）投标人被举报、检举，并经招标人查实无误的；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（7）以他人名义投标或者以其他方式弄虚作假，骗取中标的；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（8）投标人负责人为同一人或者存在控股、管理关系的不同单位；</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（9）有效投标不足三家；</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（11）未按照招标人规定的时间内在中国重汽e采通完成投标的；</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（12）不同投标人的投标文件异常一致；</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（13）投标报价呈规律性差异的；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hAnsi="宋体" w:eastAsia="宋体" w:cs="宋体"/>
          <w:color w:val="auto"/>
          <w:sz w:val="24"/>
          <w:szCs w:val="24"/>
        </w:rPr>
        <w:t>4</w:t>
      </w:r>
      <w:r>
        <w:rPr>
          <w:rFonts w:hint="eastAsia" w:ascii="宋体" w:hAnsi="宋体" w:eastAsia="宋体" w:cs="宋体"/>
          <w:color w:val="auto"/>
          <w:sz w:val="24"/>
          <w:szCs w:val="24"/>
        </w:rPr>
        <w:t>）法律、法规规定的其他情况。</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spacing w:line="360" w:lineRule="auto"/>
        <w:ind w:right="2"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（3）评标委员会经评审，认为所有投标都不符合招标文件要求的；</w:t>
      </w:r>
    </w:p>
    <w:p>
      <w:pPr>
        <w:spacing w:line="360" w:lineRule="auto"/>
        <w:ind w:right="2"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（4）因重大变故，采购任务取消的</w:t>
      </w:r>
      <w:bookmarkStart w:id="20" w:name="OLE_LINK28"/>
      <w:bookmarkStart w:id="21" w:name="OLE_LINK25"/>
      <w:bookmarkStart w:id="22" w:name="OLE_LINK29"/>
      <w:bookmarkStart w:id="23" w:name="OLE_LINK27"/>
      <w:bookmarkStart w:id="24" w:name="OLE_LINK26"/>
      <w:r>
        <w:rPr>
          <w:rFonts w:hint="eastAsia" w:ascii="宋体" w:hAnsi="宋体" w:eastAsia="宋体" w:cs="宋体"/>
          <w:bCs/>
          <w:color w:val="auto"/>
          <w:sz w:val="24"/>
          <w:szCs w:val="24"/>
        </w:rPr>
        <w:t>；</w:t>
      </w:r>
      <w:bookmarkEnd w:id="20"/>
      <w:bookmarkEnd w:id="21"/>
      <w:bookmarkEnd w:id="22"/>
      <w:bookmarkEnd w:id="23"/>
      <w:bookmarkEnd w:id="24"/>
    </w:p>
    <w:p>
      <w:pPr>
        <w:spacing w:line="360" w:lineRule="auto"/>
        <w:ind w:right="2"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（5）投标人承诺同意由于招标人公司政策变化引起的随时终止项目的要求并承担由此带来的一切损失；</w:t>
      </w:r>
    </w:p>
    <w:p>
      <w:pPr>
        <w:spacing w:line="360" w:lineRule="auto"/>
        <w:ind w:right="2"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（6）招标人认为其他应终止招标的情形</w:t>
      </w:r>
      <w:r>
        <w:rPr>
          <w:rFonts w:hint="eastAsia" w:ascii="宋体" w:hAnsi="宋体" w:eastAsia="宋体" w:cs="宋体"/>
          <w:bCs/>
          <w:color w:val="auto"/>
          <w:sz w:val="24"/>
          <w:szCs w:val="24"/>
          <w:lang w:eastAsia="zh-CN"/>
        </w:rPr>
        <w:t>。</w:t>
      </w:r>
    </w:p>
    <w:p>
      <w:pPr>
        <w:spacing w:line="360" w:lineRule="auto"/>
        <w:ind w:right="2"/>
        <w:rPr>
          <w:rFonts w:ascii="宋体" w:hAnsi="宋体" w:eastAsia="宋体" w:cs="宋体"/>
          <w:color w:val="auto"/>
          <w:sz w:val="24"/>
          <w:szCs w:val="24"/>
        </w:rPr>
      </w:pPr>
      <w:r>
        <w:rPr>
          <w:rFonts w:hint="eastAsia" w:ascii="宋体" w:hAnsi="宋体" w:eastAsia="宋体" w:cs="宋体"/>
          <w:color w:val="auto"/>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auto"/>
          <w:sz w:val="24"/>
          <w:szCs w:val="24"/>
        </w:rPr>
      </w:pPr>
      <w:r>
        <w:rPr>
          <w:rFonts w:hint="eastAsia" w:ascii="宋体" w:hAnsi="宋体" w:eastAsia="宋体" w:cs="宋体"/>
          <w:b/>
          <w:bCs/>
          <w:color w:val="auto"/>
          <w:sz w:val="24"/>
          <w:szCs w:val="24"/>
        </w:rPr>
        <w:t>九、本次招标最终解释权</w:t>
      </w:r>
      <w:r>
        <w:rPr>
          <w:rFonts w:hint="eastAsia" w:ascii="宋体" w:hAnsi="宋体" w:eastAsia="宋体" w:cs="宋体"/>
          <w:b/>
          <w:color w:val="auto"/>
          <w:sz w:val="24"/>
          <w:szCs w:val="24"/>
        </w:rPr>
        <w:t>归中国重汽集团济南特种车有限公司。</w:t>
      </w:r>
    </w:p>
    <w:p>
      <w:pPr>
        <w:pStyle w:val="16"/>
        <w:framePr w:wrap="around"/>
        <w:rPr>
          <w:color w:val="auto"/>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framePr w:wrap="around"/>
        <w:rPr>
          <w:color w:val="auto"/>
        </w:rPr>
      </w:pPr>
      <w:bookmarkStart w:id="25" w:name="_Toc22879"/>
      <w:r>
        <w:rPr>
          <w:rFonts w:hint="eastAsia"/>
          <w:color w:val="auto"/>
        </w:rPr>
        <w:t>第三部分 投标文件编制</w:t>
      </w:r>
      <w:bookmarkEnd w:id="25"/>
    </w:p>
    <w:p>
      <w:pPr>
        <w:keepNext/>
        <w:keepLines/>
        <w:spacing w:line="360" w:lineRule="auto"/>
        <w:outlineLvl w:val="1"/>
        <w:rPr>
          <w:rFonts w:hint="eastAsia" w:ascii="宋体" w:hAnsi="宋体" w:eastAsia="宋体" w:cs="宋体"/>
          <w:b/>
          <w:bCs/>
          <w:color w:val="auto"/>
          <w:sz w:val="24"/>
          <w:szCs w:val="24"/>
        </w:rPr>
      </w:pP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一、投标文件的编制</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2.投标文件和与投标有关的所有文件均应使用中文。</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二、投标文件资料</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1.投标人所投标设备详细技术资料清单，在标书中列示说明；</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B、售后服务机构或网点（名称、地址、联系人、电话）。</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C、针对本项目的技术服务团队情况（人员数量、姓名、电话、专业资质等）。</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D、日常维护保养及故障排除措施保证。</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三、投标文件的组成</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本项目投标文件分为</w:t>
      </w:r>
      <w:r>
        <w:rPr>
          <w:rFonts w:hint="eastAsia" w:ascii="宋体" w:hAnsi="宋体" w:eastAsia="宋体" w:cs="宋体"/>
          <w:b/>
          <w:color w:val="auto"/>
          <w:sz w:val="24"/>
          <w:szCs w:val="24"/>
        </w:rPr>
        <w:t>纸质版</w:t>
      </w:r>
      <w:r>
        <w:rPr>
          <w:rFonts w:hint="eastAsia" w:ascii="宋体" w:hAnsi="宋体" w:eastAsia="宋体" w:cs="宋体"/>
          <w:bCs/>
          <w:color w:val="auto"/>
          <w:sz w:val="24"/>
          <w:szCs w:val="24"/>
        </w:rPr>
        <w:t>投标文件和</w:t>
      </w:r>
      <w:r>
        <w:rPr>
          <w:rFonts w:hint="eastAsia" w:ascii="宋体" w:hAnsi="宋体" w:eastAsia="宋体" w:cs="宋体"/>
          <w:b/>
          <w:color w:val="auto"/>
          <w:sz w:val="24"/>
          <w:szCs w:val="24"/>
        </w:rPr>
        <w:t>电子版</w:t>
      </w:r>
      <w:r>
        <w:rPr>
          <w:rFonts w:hint="eastAsia" w:ascii="宋体" w:hAnsi="宋体" w:eastAsia="宋体" w:cs="宋体"/>
          <w:bCs/>
          <w:color w:val="auto"/>
          <w:sz w:val="24"/>
          <w:szCs w:val="24"/>
        </w:rPr>
        <w:t>投标文件，均由</w:t>
      </w:r>
      <w:r>
        <w:rPr>
          <w:rFonts w:hint="eastAsia" w:ascii="宋体" w:hAnsi="宋体" w:eastAsia="宋体" w:cs="宋体"/>
          <w:b/>
          <w:color w:val="auto"/>
          <w:sz w:val="24"/>
          <w:szCs w:val="24"/>
        </w:rPr>
        <w:t>《投标文件（资质标）》、《投标文件（商务标）》（开标一览表）</w:t>
      </w:r>
      <w:r>
        <w:rPr>
          <w:rFonts w:hint="eastAsia" w:ascii="宋体" w:hAnsi="宋体" w:eastAsia="宋体" w:cs="宋体"/>
          <w:bCs/>
          <w:color w:val="auto"/>
          <w:sz w:val="24"/>
          <w:szCs w:val="24"/>
        </w:rPr>
        <w:t>文件组成，共计</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个文件。</w:t>
      </w:r>
    </w:p>
    <w:p>
      <w:pPr>
        <w:spacing w:line="360" w:lineRule="auto"/>
        <w:ind w:firstLine="482" w:firstLineChars="200"/>
        <w:rPr>
          <w:rFonts w:ascii="宋体" w:hAnsi="宋体" w:eastAsia="宋体" w:cs="宋体"/>
          <w:bCs/>
          <w:color w:val="auto"/>
          <w:sz w:val="24"/>
          <w:szCs w:val="24"/>
        </w:rPr>
      </w:pPr>
      <w:r>
        <w:rPr>
          <w:rFonts w:hint="eastAsia" w:ascii="宋体" w:hAnsi="宋体" w:eastAsia="宋体" w:cs="宋体"/>
          <w:b/>
          <w:color w:val="auto"/>
          <w:sz w:val="24"/>
          <w:szCs w:val="24"/>
        </w:rPr>
        <w:t>投标文件的份数要求及投递方式</w:t>
      </w:r>
      <w:r>
        <w:rPr>
          <w:rFonts w:hint="eastAsia" w:ascii="宋体" w:hAnsi="宋体" w:eastAsia="宋体" w:cs="宋体"/>
          <w:bCs/>
          <w:color w:val="auto"/>
          <w:sz w:val="24"/>
          <w:szCs w:val="24"/>
        </w:rPr>
        <w:t>，见《投标须知前附表》第3条。</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详见附件格式1—13，其余未尽事宜请按各单位习惯制定即可。</w:t>
      </w:r>
    </w:p>
    <w:p>
      <w:pPr>
        <w:spacing w:line="360" w:lineRule="auto"/>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1.《投标文件（资质标）》包括</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1.1营业执照副本复印件（需加盖公章）；</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1.2投标函（附件1）；</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rPr>
        <w:t>（含法人身份证和被授权人身份证正反面复印件）和</w:t>
      </w:r>
      <w:r>
        <w:rPr>
          <w:rFonts w:hint="eastAsia" w:ascii="宋体" w:hAnsi="宋体" w:eastAsia="宋体" w:cs="宋体"/>
          <w:color w:val="auto"/>
          <w:sz w:val="24"/>
          <w:szCs w:val="24"/>
          <w:highlight w:val="yellow"/>
        </w:rPr>
        <w:t>被授权人</w:t>
      </w:r>
      <w:r>
        <w:rPr>
          <w:rFonts w:hint="eastAsia" w:ascii="宋体" w:hAnsi="宋体" w:eastAsia="宋体" w:cs="宋体"/>
          <w:color w:val="auto"/>
          <w:kern w:val="0"/>
          <w:sz w:val="24"/>
          <w:szCs w:val="24"/>
          <w:highlight w:val="yellow"/>
          <w:lang w:bidi="en-US"/>
        </w:rPr>
        <w:t>近6个月及以上在授权单位的社保缴纳证明</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b/>
          <w:color w:val="auto"/>
          <w:sz w:val="24"/>
          <w:szCs w:val="24"/>
          <w:highlight w:val="yellow"/>
        </w:rPr>
      </w:pPr>
      <w:r>
        <w:rPr>
          <w:rFonts w:hint="eastAsia" w:ascii="宋体" w:hAnsi="宋体" w:eastAsia="宋体" w:cs="宋体"/>
          <w:color w:val="auto"/>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1.5近三年内在经营活动中</w:t>
      </w:r>
      <w:r>
        <w:rPr>
          <w:rFonts w:hint="eastAsia" w:hAnsi="宋体" w:eastAsia="宋体" w:cs="宋体"/>
          <w:color w:val="auto"/>
          <w:sz w:val="24"/>
          <w:szCs w:val="24"/>
        </w:rPr>
        <w:t>无与本项目有关的违法及重大违规</w:t>
      </w:r>
      <w:r>
        <w:rPr>
          <w:rFonts w:hint="eastAsia" w:ascii="宋体" w:hAnsi="宋体" w:eastAsia="宋体" w:cs="宋体"/>
          <w:color w:val="auto"/>
          <w:sz w:val="24"/>
          <w:szCs w:val="24"/>
        </w:rPr>
        <w:t>行为的声明；</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1.6投标人在国家企业信用信息公示系统中无与本项目有关的行政处罚、经营异常和失信信息的声明；</w:t>
      </w:r>
      <w:r>
        <w:rPr>
          <w:rFonts w:hint="eastAsia" w:ascii="宋体" w:hAnsi="宋体" w:eastAsia="宋体" w:cs="宋体"/>
          <w:color w:val="auto"/>
          <w:sz w:val="24"/>
          <w:szCs w:val="24"/>
          <w:highlight w:val="yellow"/>
        </w:rPr>
        <w:t>（附投标当日系统内相关截图）</w:t>
      </w:r>
    </w:p>
    <w:p>
      <w:pPr>
        <w:spacing w:line="360" w:lineRule="auto"/>
        <w:ind w:firstLine="480" w:firstLineChars="200"/>
        <w:rPr>
          <w:color w:val="auto"/>
        </w:rPr>
      </w:pPr>
      <w:r>
        <w:rPr>
          <w:rFonts w:hint="eastAsia" w:ascii="宋体" w:hAnsi="宋体" w:eastAsia="宋体" w:cs="宋体"/>
          <w:color w:val="auto"/>
          <w:sz w:val="24"/>
          <w:szCs w:val="24"/>
        </w:rPr>
        <w:t>1.7</w:t>
      </w:r>
      <w:r>
        <w:rPr>
          <w:rFonts w:ascii="宋体" w:hAnsi="宋体" w:eastAsia="宋体" w:cs="宋体"/>
          <w:color w:val="auto"/>
          <w:sz w:val="24"/>
          <w:szCs w:val="24"/>
        </w:rPr>
        <w:t>企业对外担保说明</w:t>
      </w:r>
      <w:r>
        <w:rPr>
          <w:rFonts w:ascii="宋体" w:hAnsi="宋体" w:eastAsia="宋体" w:cs="宋体"/>
          <w:color w:val="auto"/>
          <w:sz w:val="24"/>
          <w:szCs w:val="24"/>
          <w:highlight w:val="yellow"/>
        </w:rPr>
        <w:t>（写明贵单位对外有无对外担保和质押业务，需加盖公章）</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1.8企业信用证明材料</w:t>
      </w:r>
      <w:r>
        <w:rPr>
          <w:rFonts w:hint="eastAsia" w:ascii="宋体" w:hAnsi="宋体" w:eastAsia="宋体" w:cs="宋体"/>
          <w:color w:val="auto"/>
          <w:sz w:val="24"/>
          <w:szCs w:val="24"/>
          <w:highlight w:val="yellow"/>
        </w:rPr>
        <w:t>（征信中心出具的信用报告）</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1.9代理商投标要携带生产商的授权书、原厂售后服务承诺书，根据实际情况提供即可，无格式限制</w:t>
      </w:r>
      <w:r>
        <w:rPr>
          <w:rFonts w:hint="eastAsia" w:hAnsi="宋体" w:eastAsia="宋体" w:cs="宋体"/>
          <w:color w:val="auto"/>
          <w:sz w:val="24"/>
          <w:szCs w:val="24"/>
        </w:rPr>
        <w:t>（</w:t>
      </w:r>
      <w:r>
        <w:rPr>
          <w:rFonts w:hint="eastAsia" w:hAnsi="宋体" w:eastAsia="宋体" w:cs="宋体"/>
          <w:color w:val="auto"/>
          <w:sz w:val="24"/>
          <w:szCs w:val="24"/>
          <w:highlight w:val="yellow"/>
        </w:rPr>
        <w:t>包括所代理品牌针对项目的唯一授权书</w:t>
      </w:r>
      <w:r>
        <w:rPr>
          <w:rFonts w:hint="eastAsia" w:hAnsi="宋体" w:eastAsia="宋体" w:cs="宋体"/>
          <w:color w:val="auto"/>
          <w:sz w:val="24"/>
          <w:szCs w:val="24"/>
        </w:rPr>
        <w:t>）</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1.10企业最近半年的完税证明，并附</w:t>
      </w:r>
      <w:r>
        <w:rPr>
          <w:rFonts w:ascii="宋体" w:hAnsi="宋体" w:eastAsia="宋体" w:cs="宋体"/>
          <w:color w:val="auto"/>
          <w:sz w:val="24"/>
          <w:szCs w:val="24"/>
        </w:rPr>
        <w:t>年度纳税信用评价信息（可从电子税务局查询截图，需加盖公章）</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1.11保密承诺函（附件4）；</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1.12 202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年1月1日至今，企业近三年同类项目业绩证明，</w:t>
      </w:r>
      <w:r>
        <w:rPr>
          <w:rFonts w:ascii="宋体" w:hAnsi="宋体" w:eastAsia="宋体" w:cs="宋体"/>
          <w:color w:val="auto"/>
          <w:sz w:val="24"/>
          <w:szCs w:val="24"/>
          <w:highlight w:val="yellow"/>
        </w:rPr>
        <w:t>须提供</w:t>
      </w:r>
      <w:r>
        <w:rPr>
          <w:rFonts w:hint="eastAsia" w:hAnsi="宋体" w:eastAsia="宋体" w:cs="宋体"/>
          <w:b/>
          <w:bCs/>
          <w:color w:val="auto"/>
          <w:kern w:val="0"/>
          <w:sz w:val="24"/>
          <w:szCs w:val="24"/>
          <w:highlight w:val="yellow"/>
        </w:rPr>
        <w:t>用户清单</w:t>
      </w:r>
      <w:r>
        <w:rPr>
          <w:rFonts w:ascii="宋体" w:hAnsi="宋体" w:eastAsia="宋体" w:cs="宋体"/>
          <w:color w:val="auto"/>
          <w:sz w:val="24"/>
          <w:szCs w:val="24"/>
          <w:highlight w:val="yellow"/>
        </w:rPr>
        <w:t>、采购合同</w:t>
      </w:r>
      <w:r>
        <w:rPr>
          <w:rFonts w:hint="eastAsia" w:ascii="宋体" w:hAnsi="宋体" w:eastAsia="宋体" w:cs="宋体"/>
          <w:color w:val="auto"/>
          <w:sz w:val="24"/>
          <w:szCs w:val="24"/>
          <w:highlight w:val="yellow"/>
        </w:rPr>
        <w:t>复印件</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1.13投标保证金缴纳凭证，同时</w:t>
      </w:r>
      <w:r>
        <w:rPr>
          <w:rFonts w:hint="eastAsia" w:ascii="宋体" w:hAnsi="宋体" w:eastAsia="宋体" w:cs="宋体"/>
          <w:color w:val="auto"/>
          <w:sz w:val="24"/>
          <w:szCs w:val="24"/>
          <w:highlight w:val="yellow"/>
        </w:rPr>
        <w:t>正文描述付款账号、户名、开户行名称、开户行行号、保证金金额</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技术规格偏离表（附件5-1），</w:t>
      </w:r>
      <w:r>
        <w:rPr>
          <w:rFonts w:hint="eastAsia" w:ascii="宋体" w:hAnsi="宋体" w:eastAsia="宋体" w:cs="宋体"/>
          <w:b/>
          <w:color w:val="auto"/>
          <w:sz w:val="24"/>
          <w:szCs w:val="24"/>
        </w:rPr>
        <w:t>必须先进行两列要求一一对照，不允许直接写无偏离；</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1.15</w:t>
      </w:r>
      <w:r>
        <w:rPr>
          <w:rFonts w:hint="eastAsia" w:ascii="宋体" w:hAnsi="宋体" w:eastAsia="宋体" w:cs="宋体"/>
          <w:color w:val="auto"/>
          <w:sz w:val="24"/>
          <w:szCs w:val="24"/>
        </w:rPr>
        <w:t>供货期及保证措施；</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1.16</w:t>
      </w:r>
      <w:r>
        <w:rPr>
          <w:rFonts w:hint="eastAsia" w:ascii="宋体" w:hAnsi="宋体" w:eastAsia="宋体" w:cs="宋体"/>
          <w:color w:val="auto"/>
          <w:sz w:val="24"/>
          <w:szCs w:val="24"/>
        </w:rPr>
        <w:t>产品的技术服务和售后服务内容及措施；</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1.17</w:t>
      </w:r>
      <w:r>
        <w:rPr>
          <w:rFonts w:hint="eastAsia" w:ascii="宋体" w:hAnsi="宋体" w:eastAsia="宋体" w:cs="宋体"/>
          <w:color w:val="auto"/>
          <w:sz w:val="24"/>
          <w:szCs w:val="24"/>
        </w:rPr>
        <w:t>交货进度及计划；</w:t>
      </w:r>
    </w:p>
    <w:p>
      <w:pPr>
        <w:spacing w:line="360" w:lineRule="auto"/>
        <w:ind w:firstLine="480" w:firstLineChars="200"/>
        <w:rPr>
          <w:rFonts w:ascii="宋体" w:hAnsi="宋体" w:eastAsia="宋体" w:cs="宋体"/>
          <w:color w:val="auto"/>
          <w:sz w:val="24"/>
          <w:szCs w:val="24"/>
        </w:rPr>
      </w:pPr>
      <w:bookmarkStart w:id="26" w:name="_Toc536542319"/>
      <w:r>
        <w:rPr>
          <w:rFonts w:hint="eastAsia" w:ascii="宋体" w:hAnsi="宋体" w:eastAsia="宋体" w:cs="宋体"/>
          <w:color w:val="auto"/>
          <w:sz w:val="24"/>
          <w:szCs w:val="24"/>
          <w:lang w:val="en-US" w:eastAsia="zh-CN"/>
        </w:rPr>
        <w:t>1.18</w:t>
      </w:r>
      <w:r>
        <w:rPr>
          <w:rFonts w:hint="eastAsia" w:ascii="宋体" w:hAnsi="宋体" w:eastAsia="宋体" w:cs="宋体"/>
          <w:color w:val="auto"/>
          <w:sz w:val="24"/>
          <w:szCs w:val="24"/>
        </w:rPr>
        <w:t>投标产品技术支持材料</w:t>
      </w:r>
      <w:bookmarkEnd w:id="26"/>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1.19</w:t>
      </w:r>
      <w:r>
        <w:rPr>
          <w:rFonts w:hint="eastAsia" w:ascii="宋体" w:hAnsi="宋体" w:eastAsia="宋体" w:cs="宋体"/>
          <w:color w:val="auto"/>
          <w:sz w:val="24"/>
          <w:szCs w:val="24"/>
        </w:rPr>
        <w:t>设备质量承诺函（附件7）；</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1.20</w:t>
      </w:r>
      <w:r>
        <w:rPr>
          <w:rFonts w:hint="eastAsia" w:ascii="宋体" w:hAnsi="宋体" w:eastAsia="宋体" w:cs="宋体"/>
          <w:color w:val="auto"/>
          <w:sz w:val="24"/>
          <w:szCs w:val="24"/>
        </w:rPr>
        <w:t>投标人需提交的其它资料。</w:t>
      </w:r>
    </w:p>
    <w:p>
      <w:pPr>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color w:val="auto"/>
          <w:sz w:val="24"/>
          <w:szCs w:val="24"/>
        </w:rPr>
        <w:t>《投标文件（商务标）》（开标一览表）</w:t>
      </w:r>
      <w:r>
        <w:rPr>
          <w:rFonts w:hint="eastAsia" w:ascii="宋体" w:hAnsi="宋体" w:eastAsia="宋体" w:cs="宋体"/>
          <w:b/>
          <w:bCs/>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.1开标一览表（附件8）；</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.2投标报价明细表（附件9-1至9-5）</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.3商务条款偏离表（附件10）</w:t>
      </w:r>
      <w:bookmarkStart w:id="27" w:name="OLE_LINK18"/>
      <w:bookmarkStart w:id="28" w:name="OLE_LINK19"/>
      <w:r>
        <w:rPr>
          <w:rFonts w:hint="eastAsia" w:ascii="宋体" w:hAnsi="宋体" w:eastAsia="宋体" w:cs="宋体"/>
          <w:b/>
          <w:color w:val="auto"/>
          <w:sz w:val="24"/>
          <w:szCs w:val="24"/>
        </w:rPr>
        <w:t>；</w:t>
      </w:r>
      <w:bookmarkEnd w:id="27"/>
      <w:bookmarkEnd w:id="28"/>
      <w:r>
        <w:rPr>
          <w:rFonts w:hint="eastAsia" w:ascii="宋体" w:hAnsi="宋体" w:eastAsia="宋体" w:cs="宋体"/>
          <w:color w:val="auto"/>
          <w:sz w:val="24"/>
          <w:szCs w:val="24"/>
        </w:rPr>
        <w:t xml:space="preserve"> </w:t>
      </w:r>
    </w:p>
    <w:p>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.4投标人承诺（附件11）</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.5服务承诺函（附件12），</w:t>
      </w:r>
      <w:r>
        <w:rPr>
          <w:rFonts w:hint="eastAsia" w:ascii="宋体" w:hAnsi="宋体" w:eastAsia="宋体" w:cs="宋体"/>
          <w:b/>
          <w:color w:val="auto"/>
          <w:sz w:val="24"/>
          <w:szCs w:val="24"/>
        </w:rPr>
        <w:t>需写明质保期以外服务费用情况</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.6按招标文件投标人须知和技术规格书中要求提供的有关文件。</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四、投标文件格式</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详见第六部分投标文件附件格式1—13，其余未尽事宜请按各单位习惯制定即可。</w:t>
      </w:r>
    </w:p>
    <w:p>
      <w:pPr>
        <w:pStyle w:val="16"/>
        <w:framePr w:wrap="around"/>
        <w:rPr>
          <w:color w:val="auto"/>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color w:val="auto"/>
          <w:kern w:val="44"/>
          <w:sz w:val="36"/>
          <w:szCs w:val="44"/>
        </w:rPr>
      </w:pPr>
      <w:bookmarkStart w:id="29" w:name="_Toc9849"/>
      <w:r>
        <w:rPr>
          <w:rFonts w:hint="eastAsia" w:ascii="Calibri" w:hAnsi="Calibri" w:eastAsia="宋体" w:cs="Times New Roman"/>
          <w:b/>
          <w:bCs/>
          <w:color w:val="auto"/>
          <w:kern w:val="44"/>
          <w:sz w:val="36"/>
          <w:szCs w:val="44"/>
        </w:rPr>
        <w:t>第四部分 技术标书</w:t>
      </w:r>
      <w:bookmarkEnd w:id="29"/>
    </w:p>
    <w:p>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 xml:space="preserve">车间大屏项目土建施工 </w:t>
      </w:r>
    </w:p>
    <w:p>
      <w:pPr>
        <w:pStyle w:val="16"/>
        <w:framePr w:wrap="around"/>
        <w:rPr>
          <w:color w:val="auto"/>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pPr>
        <w:pStyle w:val="16"/>
        <w:framePr w:wrap="around"/>
        <w:rPr>
          <w:color w:val="auto"/>
        </w:rPr>
      </w:pPr>
    </w:p>
    <w:p>
      <w:pPr>
        <w:pStyle w:val="16"/>
        <w:framePr w:wrap="around"/>
        <w:rPr>
          <w:color w:val="auto"/>
        </w:rPr>
      </w:pPr>
    </w:p>
    <w:p>
      <w:pPr>
        <w:pStyle w:val="16"/>
        <w:framePr w:wrap="around"/>
        <w:rPr>
          <w:color w:val="auto"/>
        </w:rPr>
      </w:pP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pPr>
        <w:jc w:val="center"/>
        <w:rPr>
          <w:rFonts w:hint="eastAsia" w:ascii="宋体" w:hAnsi="宋体" w:eastAsia="宋体" w:cs="Times New Roman"/>
          <w:color w:val="auto"/>
          <w:sz w:val="28"/>
          <w:szCs w:val="28"/>
        </w:rPr>
      </w:pPr>
    </w:p>
    <w:p>
      <w:pPr>
        <w:jc w:val="center"/>
        <w:rPr>
          <w:rFonts w:hint="eastAsia" w:ascii="宋体" w:hAnsi="宋体" w:eastAsia="宋体" w:cs="Times New Roman"/>
          <w:color w:val="auto"/>
          <w:sz w:val="28"/>
          <w:szCs w:val="28"/>
        </w:rPr>
      </w:pPr>
    </w:p>
    <w:p>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人：中国重汽集团济南特种车有限公司</w:t>
      </w:r>
    </w:p>
    <w:p>
      <w:pPr>
        <w:jc w:val="center"/>
        <w:rPr>
          <w:rFonts w:hint="eastAsia" w:ascii="Calibri" w:hAnsi="Calibri" w:eastAsia="宋体" w:cs="Times New Roman"/>
          <w:color w:val="auto"/>
          <w:sz w:val="28"/>
          <w:szCs w:val="28"/>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lang w:val="en-US" w:eastAsia="zh-CN"/>
        </w:rPr>
        <w:t>5</w:t>
      </w:r>
      <w:r>
        <w:rPr>
          <w:rFonts w:hint="eastAsia" w:ascii="宋体" w:hAnsi="宋体" w:eastAsia="宋体" w:cs="Times New Roman"/>
          <w:color w:val="auto"/>
          <w:sz w:val="28"/>
          <w:szCs w:val="28"/>
        </w:rPr>
        <w:t>年</w:t>
      </w:r>
      <w:r>
        <w:rPr>
          <w:rFonts w:hint="eastAsia" w:ascii="Calibri" w:hAnsi="Calibri" w:eastAsia="宋体" w:cs="Times New Roman"/>
          <w:color w:val="auto"/>
          <w:sz w:val="28"/>
          <w:szCs w:val="28"/>
          <w:lang w:val="en-US" w:eastAsia="zh-CN"/>
        </w:rPr>
        <w:t>6</w:t>
      </w:r>
      <w:r>
        <w:rPr>
          <w:rFonts w:hint="eastAsia" w:ascii="Calibri" w:hAnsi="Calibri" w:eastAsia="宋体" w:cs="Times New Roman"/>
          <w:color w:val="auto"/>
          <w:sz w:val="28"/>
          <w:szCs w:val="28"/>
        </w:rPr>
        <w:t>月</w:t>
      </w: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adjustRightInd w:val="0"/>
        <w:snapToGrid w:val="0"/>
        <w:spacing w:before="163" w:beforeLines="50" w:after="163" w:afterLines="50" w:line="360" w:lineRule="auto"/>
        <w:jc w:val="center"/>
        <w:outlineLvl w:val="0"/>
        <w:rPr>
          <w:rFonts w:ascii="仿宋" w:hAnsi="仿宋" w:eastAsia="仿宋" w:cs="仿宋"/>
          <w:b/>
          <w:bCs/>
        </w:rPr>
      </w:pPr>
      <w:bookmarkStart w:id="30" w:name="_Toc19716"/>
      <w:bookmarkStart w:id="31" w:name="_Toc2174"/>
      <w:bookmarkStart w:id="32" w:name="_Toc2042"/>
      <w:bookmarkStart w:id="33" w:name="_Toc7975"/>
      <w:bookmarkStart w:id="34" w:name="_Toc19570"/>
      <w:bookmarkStart w:id="35" w:name="_Toc32410"/>
      <w:r>
        <w:rPr>
          <w:rFonts w:hint="eastAsia" w:ascii="仿宋" w:hAnsi="仿宋" w:eastAsia="仿宋" w:cs="仿宋"/>
          <w:b/>
          <w:bCs/>
        </w:rPr>
        <w:t>第一章采购货物概况</w:t>
      </w:r>
      <w:bookmarkEnd w:id="30"/>
      <w:bookmarkEnd w:id="31"/>
      <w:bookmarkEnd w:id="32"/>
      <w:bookmarkEnd w:id="33"/>
      <w:bookmarkEnd w:id="34"/>
      <w:bookmarkEnd w:id="35"/>
      <w:bookmarkStart w:id="36" w:name="_Toc133783967"/>
    </w:p>
    <w:p>
      <w:pPr>
        <w:adjustRightInd w:val="0"/>
        <w:snapToGrid w:val="0"/>
        <w:spacing w:line="360" w:lineRule="auto"/>
        <w:jc w:val="center"/>
        <w:outlineLvl w:val="1"/>
        <w:rPr>
          <w:rFonts w:ascii="仿宋" w:hAnsi="仿宋" w:eastAsia="仿宋" w:cs="仿宋"/>
          <w:b/>
          <w:bCs/>
        </w:rPr>
      </w:pPr>
      <w:bookmarkStart w:id="37" w:name="_Toc19070"/>
      <w:bookmarkStart w:id="38" w:name="_Toc5609"/>
      <w:bookmarkStart w:id="39" w:name="_Toc21892"/>
      <w:bookmarkStart w:id="40" w:name="_Toc9983"/>
      <w:bookmarkStart w:id="41" w:name="_Toc7333"/>
      <w:bookmarkStart w:id="42" w:name="_Toc28361"/>
      <w:bookmarkStart w:id="43" w:name="_Toc30246"/>
      <w:bookmarkStart w:id="44" w:name="_Toc892"/>
      <w:bookmarkStart w:id="45" w:name="_Toc25011"/>
      <w:bookmarkStart w:id="46" w:name="_Toc24689"/>
      <w:bookmarkStart w:id="47" w:name="_Toc2940"/>
      <w:bookmarkStart w:id="48" w:name="_Toc5826"/>
      <w:bookmarkStart w:id="49" w:name="_Toc5172"/>
      <w:bookmarkStart w:id="50" w:name="_Toc21756"/>
      <w:bookmarkStart w:id="51" w:name="_Toc11411"/>
      <w:bookmarkStart w:id="52" w:name="_Toc29605"/>
      <w:bookmarkStart w:id="53" w:name="_Toc29927"/>
      <w:bookmarkStart w:id="54" w:name="_Toc11763"/>
      <w:bookmarkStart w:id="55" w:name="_Toc864"/>
      <w:bookmarkStart w:id="56" w:name="_Toc22942"/>
      <w:bookmarkStart w:id="57" w:name="_Toc10612"/>
      <w:bookmarkStart w:id="58" w:name="_Toc30808"/>
      <w:bookmarkStart w:id="59" w:name="_Toc5400"/>
      <w:bookmarkStart w:id="60" w:name="_Toc31000"/>
      <w:bookmarkStart w:id="61" w:name="_Toc4004"/>
      <w:bookmarkStart w:id="62" w:name="_Toc2996"/>
      <w:bookmarkStart w:id="63" w:name="_Toc2152"/>
      <w:bookmarkStart w:id="64" w:name="_Toc6606"/>
      <w:bookmarkStart w:id="65" w:name="_Toc7159"/>
      <w:bookmarkStart w:id="66" w:name="_Toc24613"/>
      <w:bookmarkStart w:id="67" w:name="_Toc30245"/>
      <w:bookmarkStart w:id="68" w:name="_Toc27214"/>
      <w:bookmarkStart w:id="69" w:name="_Toc6498"/>
      <w:bookmarkStart w:id="70" w:name="_Toc5420"/>
      <w:bookmarkStart w:id="71" w:name="_Toc16714"/>
      <w:bookmarkStart w:id="72" w:name="_Toc7515"/>
      <w:bookmarkStart w:id="73" w:name="_Toc5983"/>
      <w:bookmarkStart w:id="74" w:name="_Toc22424"/>
      <w:bookmarkStart w:id="75" w:name="_Toc8362"/>
      <w:bookmarkStart w:id="76" w:name="_Toc6436"/>
      <w:bookmarkStart w:id="77" w:name="_Toc17474"/>
      <w:bookmarkStart w:id="78" w:name="_Toc29157"/>
      <w:r>
        <w:rPr>
          <w:rFonts w:hint="eastAsia" w:ascii="仿宋" w:hAnsi="仿宋" w:eastAsia="仿宋" w:cs="仿宋"/>
          <w:b/>
          <w:bCs/>
        </w:rPr>
        <w:t>第一节使用环境</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1项目名称：</w:t>
      </w:r>
      <w:r>
        <w:rPr>
          <w:rFonts w:hint="eastAsia" w:ascii="仿宋" w:hAnsi="仿宋" w:eastAsia="仿宋" w:cs="仿宋"/>
          <w:highlight w:val="yellow"/>
        </w:rPr>
        <w:t>车间大屏项目（施工及辅材部分）</w:t>
      </w:r>
    </w:p>
    <w:p>
      <w:pPr>
        <w:pStyle w:val="19"/>
        <w:snapToGrid w:val="0"/>
        <w:spacing w:line="360" w:lineRule="auto"/>
        <w:ind w:firstLine="420" w:firstLineChars="200"/>
        <w:rPr>
          <w:rFonts w:ascii="仿宋" w:hAnsi="仿宋" w:eastAsia="仿宋" w:cs="仿宋"/>
          <w:highlight w:val="yellow"/>
          <w:u w:val="single"/>
          <w:shd w:val="pct10" w:color="auto" w:fill="FFFFFF"/>
        </w:rPr>
      </w:pPr>
      <w:r>
        <w:rPr>
          <w:rFonts w:hint="eastAsia" w:ascii="仿宋" w:hAnsi="仿宋" w:eastAsia="仿宋" w:cs="仿宋"/>
          <w:highlight w:val="yellow"/>
        </w:rPr>
        <w:t>2建设地点：中国重汽济南特种车有限公司</w:t>
      </w:r>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3使用地点：总装线、车身线、物流仓库</w:t>
      </w:r>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rPr>
        <w:t>4工作制度：</w:t>
      </w:r>
      <w:r>
        <w:rPr>
          <w:rFonts w:hint="eastAsia" w:ascii="仿宋" w:hAnsi="仿宋" w:eastAsia="仿宋" w:cs="仿宋"/>
          <w:highlight w:val="yellow"/>
        </w:rPr>
        <w:t>全年24小时不间断运行</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5.2环境温度：环境温度10°C 至 35°C。</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6能源环境：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pPr>
        <w:adjustRightInd w:val="0"/>
        <w:snapToGrid w:val="0"/>
        <w:spacing w:line="360" w:lineRule="auto"/>
        <w:jc w:val="center"/>
        <w:outlineLvl w:val="1"/>
        <w:rPr>
          <w:rFonts w:ascii="仿宋" w:hAnsi="仿宋" w:eastAsia="仿宋" w:cs="仿宋"/>
        </w:rPr>
      </w:pPr>
      <w:bookmarkStart w:id="79" w:name="_Toc23473"/>
      <w:bookmarkStart w:id="80" w:name="_Toc30431"/>
      <w:bookmarkStart w:id="81" w:name="_Toc5282"/>
      <w:bookmarkStart w:id="82" w:name="_Toc21302"/>
      <w:bookmarkStart w:id="83" w:name="_Toc31241"/>
      <w:bookmarkStart w:id="84" w:name="_Toc13324"/>
      <w:bookmarkStart w:id="85" w:name="_Toc6636"/>
      <w:bookmarkStart w:id="86" w:name="_Toc17605"/>
      <w:bookmarkStart w:id="87" w:name="_Toc27857"/>
      <w:bookmarkStart w:id="88" w:name="_Toc10013"/>
      <w:bookmarkStart w:id="89" w:name="_Toc8740"/>
      <w:bookmarkStart w:id="90" w:name="_Toc21616"/>
      <w:bookmarkStart w:id="91" w:name="_Toc1523"/>
      <w:bookmarkStart w:id="92" w:name="_Toc1424"/>
      <w:bookmarkStart w:id="93" w:name="_Toc17682"/>
      <w:bookmarkStart w:id="94" w:name="_Toc27449"/>
      <w:bookmarkStart w:id="95" w:name="_Toc9143"/>
      <w:bookmarkStart w:id="96" w:name="_Toc5421"/>
      <w:bookmarkStart w:id="97" w:name="_Toc24559"/>
      <w:bookmarkStart w:id="98" w:name="_Toc8560"/>
      <w:bookmarkStart w:id="99" w:name="_Toc9561"/>
      <w:bookmarkStart w:id="100" w:name="_Toc18032"/>
      <w:bookmarkStart w:id="101" w:name="_Toc29019"/>
      <w:bookmarkStart w:id="102" w:name="_Toc29333"/>
      <w:bookmarkStart w:id="103" w:name="_Toc15369"/>
      <w:bookmarkStart w:id="104" w:name="_Toc18569"/>
      <w:bookmarkStart w:id="105" w:name="_Toc24563"/>
      <w:bookmarkStart w:id="106" w:name="_Toc7568"/>
      <w:bookmarkStart w:id="107" w:name="_Toc133783968"/>
      <w:bookmarkStart w:id="108" w:name="_Toc22983"/>
      <w:bookmarkStart w:id="109" w:name="_Toc8728"/>
      <w:bookmarkStart w:id="110" w:name="_Toc13544"/>
      <w:bookmarkStart w:id="111" w:name="_Toc4175"/>
      <w:bookmarkStart w:id="112" w:name="_Toc6433"/>
      <w:bookmarkStart w:id="113" w:name="_Toc9784"/>
      <w:bookmarkStart w:id="114" w:name="_Toc18778"/>
      <w:bookmarkStart w:id="115" w:name="_Toc11744"/>
      <w:bookmarkStart w:id="116" w:name="_Toc17543"/>
      <w:bookmarkStart w:id="117" w:name="_Toc429"/>
      <w:bookmarkStart w:id="118" w:name="_Toc5374"/>
      <w:bookmarkStart w:id="119" w:name="_Toc17750"/>
      <w:bookmarkStart w:id="120" w:name="_Toc12401"/>
      <w:bookmarkStart w:id="121" w:name="_Toc24481"/>
      <w:bookmarkStart w:id="122" w:name="_Toc32599"/>
      <w:bookmarkStart w:id="123" w:name="_Toc9671"/>
      <w:bookmarkStart w:id="124" w:name="_Toc29190"/>
      <w:bookmarkStart w:id="125" w:name="_Toc21957"/>
      <w:r>
        <w:rPr>
          <w:rFonts w:hint="eastAsia" w:ascii="仿宋" w:hAnsi="仿宋" w:eastAsia="仿宋" w:cs="仿宋"/>
          <w:b/>
          <w:bCs/>
        </w:rPr>
        <w:t>第二节采购货物概况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1货物：施工及辅材（详见下表）</w:t>
      </w:r>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2货物数量：</w:t>
      </w:r>
      <w:r>
        <w:rPr>
          <w:rFonts w:hint="eastAsia" w:ascii="仿宋" w:hAnsi="仿宋" w:eastAsia="仿宋" w:cs="仿宋"/>
          <w:highlight w:val="yellow"/>
          <w:u w:val="single"/>
          <w:shd w:val="pct10" w:color="auto" w:fill="FFFFFF"/>
        </w:rPr>
        <w:t>1套</w:t>
      </w:r>
      <w:r>
        <w:rPr>
          <w:rFonts w:hint="eastAsia" w:ascii="仿宋" w:hAnsi="仿宋" w:eastAsia="仿宋" w:cs="仿宋"/>
          <w:highlight w:val="yellow"/>
        </w:rPr>
        <w:t>（详见下表）</w:t>
      </w:r>
    </w:p>
    <w:p>
      <w:pPr>
        <w:pStyle w:val="19"/>
        <w:snapToGrid w:val="0"/>
        <w:spacing w:line="360" w:lineRule="auto"/>
        <w:ind w:firstLine="420" w:firstLineChars="200"/>
        <w:jc w:val="center"/>
        <w:rPr>
          <w:rFonts w:ascii="仿宋" w:hAnsi="仿宋" w:eastAsia="仿宋" w:cs="仿宋"/>
        </w:rPr>
      </w:pPr>
      <w:r>
        <w:rPr>
          <w:rFonts w:hint="eastAsia" w:ascii="仿宋" w:hAnsi="仿宋" w:eastAsia="仿宋" w:cs="仿宋"/>
        </w:rPr>
        <w:t>采购货物主要构成一览表</w:t>
      </w:r>
    </w:p>
    <w:tbl>
      <w:tblPr>
        <w:tblStyle w:val="35"/>
        <w:tblW w:w="10275"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50mm*100mm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FF0000"/>
                <w:sz w:val="20"/>
                <w:szCs w:val="20"/>
                <w:u w:val="none"/>
                <w:lang w:val="en-US" w:eastAsia="zh-CN"/>
              </w:rPr>
              <w:t>登高高度≥15米</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元/2台/天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6-5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6-6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6-7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7-1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7-5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7-6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7-7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2020mm*1540mm*110mm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8-5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8-6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8-7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总装线大屏安装调试：</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车身线大屏安装调试：</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仓库大屏安装调试：</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8芯单模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1光4电</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13-2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1发1收</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中国重汽集团济南特种车有限公司总装线、车身线、物流仓库</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交钥匙方式</w:t>
            </w:r>
          </w:p>
        </w:tc>
        <w:tc>
          <w:tcPr>
            <w:tcW w:w="828"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r>
    </w:tbl>
    <w:p>
      <w:pPr>
        <w:pStyle w:val="19"/>
        <w:snapToGrid w:val="0"/>
        <w:spacing w:line="360" w:lineRule="auto"/>
        <w:ind w:firstLine="420" w:firstLineChars="200"/>
        <w:rPr>
          <w:rFonts w:hint="eastAsia" w:ascii="仿宋" w:hAnsi="仿宋" w:eastAsia="仿宋" w:cs="仿宋"/>
        </w:rPr>
      </w:pP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备注：</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pPr>
        <w:jc w:val="center"/>
        <w:outlineLvl w:val="0"/>
        <w:rPr>
          <w:rFonts w:ascii="仿宋" w:hAnsi="仿宋" w:eastAsia="仿宋" w:cs="仿宋"/>
          <w:b/>
          <w:bCs/>
        </w:rPr>
      </w:pPr>
      <w:bookmarkStart w:id="126" w:name="_Toc17465"/>
      <w:bookmarkStart w:id="127" w:name="_Toc7739"/>
      <w:bookmarkStart w:id="128" w:name="_Toc133783969"/>
      <w:bookmarkStart w:id="129" w:name="_Toc10441"/>
      <w:bookmarkStart w:id="130" w:name="_Toc10580"/>
      <w:bookmarkStart w:id="131" w:name="_Toc6687"/>
      <w:bookmarkStart w:id="132" w:name="_Toc31734"/>
      <w:bookmarkStart w:id="133" w:name="_Toc24597"/>
      <w:bookmarkStart w:id="134" w:name="_Toc7710"/>
      <w:bookmarkStart w:id="135" w:name="_Toc30487"/>
      <w:bookmarkStart w:id="136" w:name="_Toc11605"/>
      <w:bookmarkStart w:id="137" w:name="_Toc20034"/>
      <w:bookmarkStart w:id="138" w:name="_Toc2875"/>
      <w:bookmarkStart w:id="139" w:name="_Toc28168"/>
      <w:bookmarkStart w:id="140" w:name="_Toc32616"/>
      <w:bookmarkStart w:id="141" w:name="_Toc4488"/>
      <w:bookmarkStart w:id="142" w:name="_Toc1621"/>
      <w:bookmarkStart w:id="143" w:name="_Toc18120"/>
      <w:bookmarkStart w:id="144" w:name="_Toc29174"/>
      <w:bookmarkStart w:id="145" w:name="_Toc7813"/>
      <w:bookmarkStart w:id="146" w:name="_Toc4743"/>
      <w:bookmarkStart w:id="147" w:name="_Toc8780"/>
      <w:bookmarkStart w:id="148" w:name="_Toc15180"/>
      <w:bookmarkStart w:id="149" w:name="_Toc22658"/>
      <w:bookmarkStart w:id="150" w:name="_Toc19015"/>
      <w:bookmarkStart w:id="151" w:name="_Toc8565"/>
      <w:bookmarkStart w:id="152" w:name="_Toc30429"/>
      <w:bookmarkStart w:id="153" w:name="_Toc27638"/>
      <w:bookmarkStart w:id="154" w:name="_Toc16387"/>
      <w:bookmarkStart w:id="155" w:name="_Toc24992"/>
      <w:bookmarkStart w:id="156" w:name="_Toc26149"/>
      <w:bookmarkStart w:id="157" w:name="_Toc761"/>
      <w:bookmarkStart w:id="158" w:name="_Toc2018"/>
      <w:bookmarkStart w:id="159" w:name="_Toc32524"/>
      <w:bookmarkStart w:id="160" w:name="_Toc498"/>
      <w:bookmarkStart w:id="161" w:name="_Toc7338"/>
      <w:bookmarkStart w:id="162" w:name="_Toc22689"/>
      <w:bookmarkStart w:id="163" w:name="_Toc26470"/>
      <w:bookmarkStart w:id="164" w:name="_Toc12377"/>
      <w:bookmarkStart w:id="165" w:name="_Toc19793"/>
      <w:bookmarkStart w:id="166" w:name="_Toc23603"/>
      <w:bookmarkStart w:id="167" w:name="_Toc4881"/>
      <w:bookmarkStart w:id="168" w:name="_Toc13878"/>
      <w:r>
        <w:rPr>
          <w:rFonts w:hint="eastAsia" w:ascii="仿宋" w:hAnsi="仿宋" w:eastAsia="仿宋" w:cs="仿宋"/>
          <w:b/>
          <w:bCs/>
        </w:rPr>
        <w:t>第二章技术要求</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snapToGrid w:val="0"/>
        <w:spacing w:line="360" w:lineRule="auto"/>
        <w:ind w:firstLine="422" w:firstLineChars="200"/>
        <w:outlineLvl w:val="1"/>
        <w:rPr>
          <w:rFonts w:ascii="仿宋" w:hAnsi="仿宋" w:eastAsia="仿宋" w:cs="仿宋"/>
          <w:b/>
          <w:bCs/>
        </w:rPr>
      </w:pPr>
      <w:bookmarkStart w:id="169" w:name="_Toc27282"/>
      <w:bookmarkStart w:id="170" w:name="_Toc6003"/>
      <w:bookmarkStart w:id="171" w:name="_Toc23050"/>
      <w:bookmarkStart w:id="172" w:name="_Toc18792"/>
      <w:bookmarkStart w:id="173" w:name="_Toc5804"/>
      <w:bookmarkStart w:id="174" w:name="_Toc477"/>
      <w:bookmarkStart w:id="175" w:name="_Toc15747"/>
      <w:bookmarkStart w:id="176" w:name="_Toc31246"/>
      <w:bookmarkStart w:id="177" w:name="_Toc13195"/>
      <w:bookmarkStart w:id="178" w:name="_Toc22422"/>
      <w:bookmarkStart w:id="179" w:name="_Toc23337"/>
      <w:bookmarkStart w:id="180" w:name="_Toc4126"/>
      <w:bookmarkStart w:id="181" w:name="_Toc39"/>
      <w:bookmarkStart w:id="182" w:name="_Toc21559"/>
      <w:bookmarkStart w:id="183" w:name="_Toc27930"/>
      <w:bookmarkStart w:id="184" w:name="_Toc9894"/>
      <w:bookmarkStart w:id="185" w:name="_Toc20792"/>
      <w:bookmarkStart w:id="186" w:name="_Toc1111"/>
      <w:bookmarkStart w:id="187" w:name="_Toc26827"/>
      <w:bookmarkStart w:id="188" w:name="_Toc5450"/>
      <w:bookmarkStart w:id="189" w:name="_Toc31434"/>
      <w:bookmarkStart w:id="190" w:name="_Toc29354"/>
      <w:bookmarkStart w:id="191" w:name="_Toc29489"/>
      <w:bookmarkStart w:id="192" w:name="_Toc15995"/>
      <w:bookmarkStart w:id="193" w:name="_Toc1968"/>
      <w:bookmarkStart w:id="194" w:name="_Toc5110"/>
      <w:bookmarkStart w:id="195" w:name="_Toc2473"/>
      <w:bookmarkStart w:id="196" w:name="_Toc7141"/>
      <w:bookmarkStart w:id="197" w:name="_Toc5876"/>
      <w:bookmarkStart w:id="198" w:name="_Toc380"/>
      <w:bookmarkStart w:id="199" w:name="_Toc16063"/>
      <w:bookmarkStart w:id="200" w:name="_Toc20402"/>
      <w:bookmarkStart w:id="201" w:name="_Toc16822"/>
      <w:bookmarkStart w:id="202" w:name="_Toc11056"/>
      <w:bookmarkStart w:id="203" w:name="_Toc9134"/>
      <w:bookmarkStart w:id="204" w:name="_Toc25950"/>
      <w:bookmarkStart w:id="205" w:name="_Toc15744"/>
      <w:bookmarkStart w:id="206" w:name="_Toc5714"/>
      <w:bookmarkStart w:id="207" w:name="_Toc11621"/>
      <w:bookmarkStart w:id="208" w:name="_Toc5430"/>
      <w:bookmarkStart w:id="209" w:name="_Toc28751"/>
      <w:r>
        <w:rPr>
          <w:rFonts w:hint="eastAsia" w:ascii="仿宋" w:hAnsi="仿宋" w:eastAsia="仿宋" w:cs="仿宋"/>
          <w:b/>
          <w:bCs/>
        </w:rPr>
        <w:t>1基本要求</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1.7 投标方应保证所供货物的完整性和成套性，能保证货物的正常运行、使用。</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★1.9投标方所供设备应按“</w:t>
      </w:r>
      <w:r>
        <w:rPr>
          <w:rFonts w:hint="eastAsia" w:ascii="仿宋" w:hAnsi="仿宋" w:eastAsia="仿宋" w:cs="仿宋"/>
          <w:highlight w:val="yellow"/>
        </w:rPr>
        <w:t>交钥匙工程</w:t>
      </w:r>
      <w:r>
        <w:rPr>
          <w:rFonts w:hint="eastAsia" w:ascii="仿宋" w:hAnsi="仿宋" w:eastAsia="仿宋" w:cs="仿宋"/>
        </w:rPr>
        <w:t>”要求。</w:t>
      </w:r>
    </w:p>
    <w:p>
      <w:pPr>
        <w:snapToGrid w:val="0"/>
        <w:spacing w:line="360" w:lineRule="auto"/>
        <w:ind w:firstLine="422" w:firstLineChars="200"/>
        <w:outlineLvl w:val="1"/>
        <w:rPr>
          <w:rFonts w:ascii="仿宋" w:hAnsi="仿宋" w:eastAsia="仿宋" w:cs="仿宋"/>
          <w:b/>
          <w:bCs/>
        </w:rPr>
      </w:pPr>
      <w:r>
        <w:rPr>
          <w:rFonts w:hint="eastAsia" w:ascii="仿宋" w:hAnsi="仿宋" w:eastAsia="仿宋" w:cs="仿宋"/>
          <w:b/>
          <w:bCs/>
        </w:rPr>
        <w:t>2特别提示</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 xml:space="preserve">   2.1本章技术要求，仅对功能、设计、结构、性能、安装和试验检验等方面，提出了最低和一般性的技术要求，并未对一切技术细节作出规定。</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 xml:space="preserve">    2.2本技术要求所使用的标准、规范等，如与投标人所执行的标准、规范不一致时，应按高于本技术要求所列的标准、规范执行。</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2.3投标人认为所供货物必需由招标人配备、解决或提供的其它要求，如设备基础隔振和减振设施、软化水、洁净气源等，均应在投标文件“技术偏离”中予以充分说明。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2.4投标人应根据招投标货物具体要求，提出对厂房、设备基础（或安装平台）、公用设施、消防、环保等超出招标文件、投标文件、答疑文件、技术交流文件、技术协议书和合同等规定的、有特殊需要的解释、说明和要求。</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2.5无论是否有技术偏离，投标人均应在投标文件“技术偏离”中明确作出有无说明。若有异议，不管是多么微小，投标人必须予以明确和详细的说明或澄清。</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2.6为避免投标人优势在招标评审时漏项，质保期超出本技术标书要求的，应当在投标文件“技术偏离”中特别注明。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2.7本技术标书内所有带★的项目为淘汰项，其中一项不能满足将导致淘汰；其他项为普通参数，3项（含3项）以上的普通参数负偏离将导致淘汰。</w:t>
      </w:r>
    </w:p>
    <w:p>
      <w:pPr>
        <w:snapToGrid w:val="0"/>
        <w:spacing w:line="360" w:lineRule="auto"/>
        <w:outlineLvl w:val="1"/>
        <w:rPr>
          <w:rFonts w:ascii="仿宋" w:hAnsi="仿宋" w:eastAsia="仿宋" w:cs="仿宋"/>
          <w:b/>
          <w:bCs/>
        </w:rPr>
      </w:pPr>
      <w:bookmarkStart w:id="210" w:name="_Toc7189"/>
      <w:r>
        <w:rPr>
          <w:rFonts w:hint="eastAsia" w:ascii="仿宋" w:hAnsi="仿宋" w:eastAsia="仿宋" w:cs="仿宋"/>
          <w:b/>
          <w:bCs/>
        </w:rPr>
        <w:t>3具体技术要求</w:t>
      </w:r>
      <w:bookmarkEnd w:id="210"/>
    </w:p>
    <w:p>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pPr>
        <w:spacing w:line="480" w:lineRule="exact"/>
        <w:ind w:firstLine="422" w:firstLineChars="200"/>
        <w:rPr>
          <w:rFonts w:ascii="仿宋" w:hAnsi="仿宋" w:eastAsia="仿宋"/>
          <w:b/>
          <w:bCs/>
        </w:rPr>
      </w:pPr>
      <w:r>
        <w:rPr>
          <w:rFonts w:hint="eastAsia" w:ascii="仿宋" w:hAnsi="仿宋" w:eastAsia="仿宋"/>
          <w:b/>
          <w:bCs/>
        </w:rPr>
        <w:t>项目包括以下内容：</w:t>
      </w:r>
    </w:p>
    <w:p>
      <w:pPr>
        <w:spacing w:line="480" w:lineRule="exact"/>
        <w:ind w:firstLine="420" w:firstLineChars="200"/>
        <w:rPr>
          <w:rFonts w:ascii="仿宋" w:hAnsi="仿宋" w:eastAsia="仿宋"/>
          <w:bCs/>
          <w:highlight w:val="yellow"/>
        </w:rPr>
      </w:pPr>
      <w:r>
        <w:rPr>
          <w:rFonts w:hint="eastAsia" w:ascii="仿宋" w:hAnsi="仿宋" w:eastAsia="仿宋" w:cs="仿宋"/>
        </w:rPr>
        <w:t>★</w:t>
      </w:r>
      <w:r>
        <w:rPr>
          <w:rFonts w:hint="eastAsia" w:ascii="仿宋" w:hAnsi="仿宋" w:eastAsia="仿宋"/>
          <w:bCs/>
          <w:highlight w:val="yellow"/>
        </w:rPr>
        <w:t>3.1功能用途：</w:t>
      </w:r>
    </w:p>
    <w:p>
      <w:pPr>
        <w:ind w:firstLine="420" w:firstLineChars="200"/>
        <w:rPr>
          <w:rFonts w:hint="eastAsia" w:ascii="仿宋" w:hAnsi="仿宋" w:eastAsia="仿宋"/>
          <w:bCs/>
          <w:color w:val="FF0000"/>
          <w:highlight w:val="yellow"/>
          <w:lang w:val="en-US" w:eastAsia="zh-CN"/>
        </w:rPr>
      </w:pPr>
    </w:p>
    <w:p>
      <w:pPr>
        <w:ind w:firstLine="420" w:firstLineChars="200"/>
        <w:rPr>
          <w:rFonts w:hint="eastAsia" w:ascii="仿宋" w:hAnsi="仿宋" w:eastAsia="仿宋"/>
          <w:bCs/>
          <w:color w:val="FF0000"/>
          <w:highlight w:val="yellow"/>
          <w:lang w:val="en-US" w:eastAsia="zh-CN"/>
        </w:rPr>
      </w:pPr>
      <w:r>
        <w:rPr>
          <w:rFonts w:hint="eastAsia" w:ascii="仿宋" w:hAnsi="仿宋" w:eastAsia="仿宋"/>
          <w:bCs/>
          <w:color w:val="FF0000"/>
          <w:highlight w:val="yellow"/>
          <w:lang w:val="en-US" w:eastAsia="zh-CN"/>
        </w:rPr>
        <w:t>投标方按照招标方提供的大屏尺寸、安装位置采用吊装方式（固定点采用定制夹持器与房梁固定）进行安装调试以及控制线路的铺设，具体实施地点投标前投标方现场调研。大屏尺寸、安装位置如下：</w:t>
      </w:r>
    </w:p>
    <w:p>
      <w:pPr>
        <w:ind w:firstLine="420" w:firstLineChars="200"/>
        <w:rPr>
          <w:rFonts w:hint="eastAsia" w:ascii="仿宋" w:hAnsi="仿宋" w:eastAsia="仿宋"/>
          <w:bCs/>
          <w:color w:val="FF0000"/>
          <w:highlight w:val="yellow"/>
          <w:lang w:val="en-US" w:eastAsia="zh-CN"/>
        </w:rPr>
      </w:pPr>
    </w:p>
    <w:tbl>
      <w:tblPr>
        <w:tblStyle w:val="36"/>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723"/>
        <w:gridCol w:w="2536"/>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178" w:type="dxa"/>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产线/部门</w:t>
            </w:r>
          </w:p>
        </w:tc>
        <w:tc>
          <w:tcPr>
            <w:tcW w:w="1723" w:type="dxa"/>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大屏尺寸</w:t>
            </w:r>
          </w:p>
        </w:tc>
        <w:tc>
          <w:tcPr>
            <w:tcW w:w="2536" w:type="dxa"/>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安装位置</w:t>
            </w:r>
          </w:p>
        </w:tc>
        <w:tc>
          <w:tcPr>
            <w:tcW w:w="2986" w:type="dxa"/>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bCs/>
                <w:color w:val="FF0000"/>
                <w:sz w:val="20"/>
                <w:szCs w:val="20"/>
                <w:highlight w:val="yellow"/>
                <w:vertAlign w:val="baseline"/>
                <w:lang w:val="en-US" w:eastAsia="zh-CN"/>
              </w:rPr>
              <w:t>控制端位置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总装线</w:t>
            </w:r>
          </w:p>
        </w:tc>
        <w:tc>
          <w:tcPr>
            <w:tcW w:w="1723" w:type="dxa"/>
            <w:vAlign w:val="center"/>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3840mm*2400mm</w:t>
            </w:r>
          </w:p>
        </w:tc>
        <w:tc>
          <w:tcPr>
            <w:tcW w:w="253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A12B08立柱位置(总装线立柱A05-A33)</w:t>
            </w:r>
          </w:p>
        </w:tc>
        <w:tc>
          <w:tcPr>
            <w:tcW w:w="2986" w:type="dxa"/>
            <w:vMerge w:val="restart"/>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北办公楼一楼制造部会议室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车身线</w:t>
            </w:r>
          </w:p>
        </w:tc>
        <w:tc>
          <w:tcPr>
            <w:tcW w:w="1723" w:type="dxa"/>
            <w:vAlign w:val="center"/>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3840mm*2400mm</w:t>
            </w:r>
          </w:p>
        </w:tc>
        <w:tc>
          <w:tcPr>
            <w:tcW w:w="253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A12B11立柱位置(车身线立柱A05-A24)</w:t>
            </w:r>
          </w:p>
        </w:tc>
        <w:tc>
          <w:tcPr>
            <w:tcW w:w="2986" w:type="dxa"/>
            <w:vMerge w:val="continue"/>
          </w:tcPr>
          <w:p>
            <w:pPr>
              <w:rPr>
                <w:rFonts w:hint="default" w:ascii="仿宋" w:hAnsi="仿宋" w:eastAsia="仿宋"/>
                <w:bCs/>
                <w:color w:val="FF0000"/>
                <w:sz w:val="20"/>
                <w:szCs w:val="20"/>
                <w:highlight w:val="yellow"/>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仓库</w:t>
            </w:r>
          </w:p>
        </w:tc>
        <w:tc>
          <w:tcPr>
            <w:tcW w:w="1723" w:type="dxa"/>
            <w:vAlign w:val="center"/>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1920mm*1440mm</w:t>
            </w:r>
          </w:p>
        </w:tc>
        <w:tc>
          <w:tcPr>
            <w:tcW w:w="253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进门通道位置</w:t>
            </w:r>
          </w:p>
        </w:tc>
        <w:tc>
          <w:tcPr>
            <w:tcW w:w="298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载信物流仓库北门办公室</w:t>
            </w:r>
          </w:p>
        </w:tc>
      </w:tr>
    </w:tbl>
    <w:p>
      <w:pPr>
        <w:ind w:firstLine="420" w:firstLineChars="200"/>
        <w:rPr>
          <w:rFonts w:hint="default" w:ascii="仿宋" w:hAnsi="仿宋" w:eastAsia="仿宋"/>
          <w:bCs/>
          <w:color w:val="FF0000"/>
          <w:highlight w:val="yellow"/>
          <w:lang w:val="en-US" w:eastAsia="zh-CN"/>
        </w:rPr>
      </w:pPr>
    </w:p>
    <w:p>
      <w:pPr>
        <w:spacing w:line="480" w:lineRule="exact"/>
        <w:ind w:firstLine="420" w:firstLineChars="200"/>
        <w:rPr>
          <w:rFonts w:hint="eastAsia" w:ascii="仿宋" w:hAnsi="仿宋" w:eastAsia="仿宋"/>
          <w:bCs/>
          <w:color w:val="FF0000"/>
          <w:highlight w:val="yellow"/>
          <w:lang w:val="en-US" w:eastAsia="zh-CN"/>
        </w:rPr>
      </w:pPr>
      <w:r>
        <w:rPr>
          <w:rFonts w:hint="eastAsia" w:ascii="仿宋" w:hAnsi="仿宋" w:eastAsia="仿宋" w:cs="仿宋"/>
        </w:rPr>
        <w:t>★</w:t>
      </w:r>
      <w:r>
        <w:rPr>
          <w:rFonts w:hint="eastAsia" w:ascii="仿宋" w:hAnsi="仿宋" w:eastAsia="仿宋"/>
          <w:bCs/>
        </w:rPr>
        <w:t>3.2</w:t>
      </w:r>
      <w:r>
        <w:rPr>
          <w:rFonts w:hint="eastAsia" w:ascii="仿宋" w:hAnsi="仿宋" w:eastAsia="仿宋"/>
          <w:bCs/>
          <w:color w:val="FF0000"/>
          <w:highlight w:val="yellow"/>
          <w:lang w:val="en-US" w:eastAsia="zh-CN"/>
        </w:rPr>
        <w:t>安装施工要求</w:t>
      </w:r>
      <w:r>
        <w:rPr>
          <w:rFonts w:hint="eastAsia" w:ascii="仿宋" w:hAnsi="仿宋" w:eastAsia="仿宋"/>
          <w:bCs/>
          <w:color w:val="FF0000"/>
          <w:highlight w:val="yellow"/>
        </w:rPr>
        <w:t>：</w:t>
      </w:r>
    </w:p>
    <w:p>
      <w:pPr>
        <w:spacing w:line="480" w:lineRule="exact"/>
        <w:ind w:firstLine="420" w:firstLineChars="200"/>
        <w:rPr>
          <w:rFonts w:hint="default" w:ascii="仿宋" w:hAnsi="仿宋" w:eastAsia="仿宋"/>
          <w:bCs/>
          <w:color w:val="FF0000"/>
          <w:highlight w:val="yellow"/>
          <w:lang w:val="en-US" w:eastAsia="zh-CN"/>
        </w:rPr>
      </w:pPr>
      <w:r>
        <w:rPr>
          <w:rFonts w:hint="eastAsia" w:ascii="仿宋" w:hAnsi="仿宋" w:eastAsia="仿宋"/>
          <w:bCs/>
          <w:color w:val="FF0000"/>
          <w:highlight w:val="yellow"/>
          <w:lang w:val="en-US" w:eastAsia="zh-CN"/>
        </w:rPr>
        <w:t>投标方提供甲方3.1三块大屏的指定安装地点安装、调试服务。具体施工参数如下：</w:t>
      </w:r>
    </w:p>
    <w:p>
      <w:pPr>
        <w:ind w:firstLine="420" w:firstLineChars="200"/>
        <w:rPr>
          <w:rFonts w:hint="eastAsia" w:ascii="仿宋" w:hAnsi="仿宋" w:eastAsia="仿宋"/>
          <w:bCs/>
          <w:highlight w:val="yellow"/>
        </w:rPr>
      </w:pPr>
    </w:p>
    <w:tbl>
      <w:tblPr>
        <w:tblStyle w:val="35"/>
        <w:tblW w:w="9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50mm*100mm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登高高度≥15m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元/2台/天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7-1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2020mm*1540mm*110mm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8芯单模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1光4电</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13-2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1发1收</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中国重汽集团济南特种车有限公司总装线、车身线、物流仓库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left"/>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FF0000"/>
                <w:kern w:val="0"/>
                <w:sz w:val="20"/>
                <w:szCs w:val="20"/>
                <w:highlight w:val="yellow"/>
                <w:u w:val="none"/>
                <w:lang w:val="en-US" w:eastAsia="zh-CN" w:bidi="ar"/>
              </w:rPr>
              <w:t>招标方</w:t>
            </w:r>
            <w:r>
              <w:rPr>
                <w:rFonts w:hint="eastAsia" w:ascii="仿宋" w:hAnsi="仿宋" w:eastAsia="仿宋" w:cs="仿宋"/>
                <w:b/>
                <w:bCs/>
                <w:i w:val="0"/>
                <w:iCs w:val="0"/>
                <w:color w:val="000000"/>
                <w:kern w:val="0"/>
                <w:sz w:val="20"/>
                <w:szCs w:val="20"/>
                <w:u w:val="none"/>
                <w:lang w:val="en-US" w:eastAsia="zh-CN" w:bidi="ar"/>
              </w:rPr>
              <w:t>施工要求；大屏钢结构可靠牢固，采用吊装方式安装于总装线、车身线、仓库上方</w:t>
            </w:r>
            <w:r>
              <w:rPr>
                <w:rFonts w:hint="eastAsia" w:ascii="仿宋" w:hAnsi="仿宋" w:eastAsia="仿宋" w:cs="仿宋"/>
                <w:b/>
                <w:bCs/>
                <w:i w:val="0"/>
                <w:iCs w:val="0"/>
                <w:color w:val="FF0000"/>
                <w:kern w:val="0"/>
                <w:sz w:val="20"/>
                <w:szCs w:val="20"/>
                <w:highlight w:val="yellow"/>
                <w:u w:val="none"/>
                <w:lang w:val="en-US" w:eastAsia="zh-CN" w:bidi="ar"/>
              </w:rPr>
              <w:t>屏体框架下沿</w:t>
            </w:r>
            <w:r>
              <w:rPr>
                <w:rFonts w:hint="eastAsia" w:ascii="仿宋" w:hAnsi="仿宋" w:eastAsia="仿宋" w:cs="仿宋"/>
                <w:b/>
                <w:bCs/>
                <w:i w:val="0"/>
                <w:iCs w:val="0"/>
                <w:color w:val="000000"/>
                <w:kern w:val="0"/>
                <w:sz w:val="20"/>
                <w:szCs w:val="20"/>
                <w:u w:val="none"/>
                <w:lang w:val="en-US" w:eastAsia="zh-CN" w:bidi="ar"/>
              </w:rPr>
              <w:t>距地面5米左右处，上方固定点不得破坏建筑主体，</w:t>
            </w:r>
            <w:r>
              <w:rPr>
                <w:rFonts w:hint="eastAsia" w:ascii="仿宋" w:hAnsi="仿宋" w:eastAsia="仿宋" w:cs="仿宋"/>
                <w:b/>
                <w:bCs/>
                <w:i w:val="0"/>
                <w:iCs w:val="0"/>
                <w:color w:val="FF0000"/>
                <w:kern w:val="0"/>
                <w:sz w:val="20"/>
                <w:szCs w:val="20"/>
                <w:highlight w:val="yellow"/>
                <w:u w:val="none"/>
                <w:lang w:val="en-US" w:eastAsia="zh-CN" w:bidi="ar"/>
              </w:rPr>
              <w:t>固定点采用定制夹持器与房梁固定，避免在房梁钻孔造成结构不稳</w:t>
            </w:r>
            <w:r>
              <w:rPr>
                <w:rFonts w:hint="eastAsia" w:ascii="仿宋" w:hAnsi="仿宋" w:eastAsia="仿宋" w:cs="仿宋"/>
                <w:b/>
                <w:bCs/>
                <w:i w:val="0"/>
                <w:iCs w:val="0"/>
                <w:color w:val="000000"/>
                <w:kern w:val="0"/>
                <w:sz w:val="20"/>
                <w:szCs w:val="20"/>
                <w:u w:val="none"/>
                <w:lang w:val="en-US" w:eastAsia="zh-CN" w:bidi="ar"/>
              </w:rPr>
              <w:t>。取电采用就近取电。总装线、车身线大屏控制线路接至北办公楼一楼制造部会议室内，仓库大屏控制端线路接至载信物流仓库北门办公室内。</w:t>
            </w:r>
            <w:r>
              <w:rPr>
                <w:rFonts w:hint="eastAsia" w:ascii="仿宋" w:hAnsi="仿宋" w:eastAsia="仿宋" w:cs="仿宋"/>
                <w:b/>
                <w:bCs/>
                <w:i w:val="0"/>
                <w:iCs w:val="0"/>
                <w:color w:val="FF0000"/>
                <w:kern w:val="0"/>
                <w:sz w:val="20"/>
                <w:szCs w:val="20"/>
                <w:highlight w:val="yellow"/>
                <w:u w:val="none"/>
                <w:lang w:val="en-US" w:eastAsia="zh-CN" w:bidi="ar"/>
              </w:rPr>
              <w:t>投标方负责所安装大屏的通电调试。</w:t>
            </w:r>
          </w:p>
        </w:tc>
      </w:tr>
    </w:tbl>
    <w:p>
      <w:pPr>
        <w:ind w:firstLine="420" w:firstLineChars="200"/>
        <w:rPr>
          <w:rFonts w:ascii="仿宋" w:hAnsi="仿宋" w:eastAsia="仿宋"/>
          <w:bCs/>
        </w:rPr>
      </w:pPr>
      <w:r>
        <w:rPr>
          <w:rFonts w:hint="eastAsia" w:ascii="仿宋" w:hAnsi="仿宋" w:eastAsia="仿宋"/>
          <w:bCs/>
        </w:rPr>
        <w:br w:type="page"/>
      </w:r>
    </w:p>
    <w:p>
      <w:pPr>
        <w:spacing w:line="480" w:lineRule="exact"/>
        <w:ind w:firstLine="420" w:firstLineChars="200"/>
        <w:rPr>
          <w:rFonts w:ascii="仿宋" w:hAnsi="仿宋" w:eastAsia="仿宋"/>
          <w:bCs/>
        </w:rPr>
      </w:pPr>
    </w:p>
    <w:p>
      <w:pPr>
        <w:jc w:val="center"/>
        <w:rPr>
          <w:rFonts w:ascii="仿宋" w:hAnsi="仿宋" w:eastAsia="仿宋"/>
        </w:rPr>
      </w:pPr>
      <w:bookmarkStart w:id="211" w:name="_Toc30892"/>
      <w:bookmarkStart w:id="212" w:name="_Toc22347"/>
      <w:bookmarkStart w:id="213" w:name="_Toc25915"/>
      <w:bookmarkStart w:id="214" w:name="_Toc28745"/>
      <w:bookmarkStart w:id="215" w:name="_Toc1909"/>
      <w:bookmarkStart w:id="216" w:name="_Toc22156"/>
      <w:bookmarkStart w:id="217" w:name="_Toc13526"/>
      <w:bookmarkStart w:id="218" w:name="_Toc11725"/>
      <w:bookmarkStart w:id="219" w:name="_Toc3808"/>
      <w:bookmarkStart w:id="220" w:name="_Toc16316"/>
      <w:bookmarkStart w:id="221" w:name="_Toc29006"/>
      <w:bookmarkStart w:id="222" w:name="_Toc1171"/>
      <w:bookmarkStart w:id="223" w:name="_Toc11390"/>
      <w:bookmarkStart w:id="224" w:name="_Toc19022"/>
      <w:bookmarkStart w:id="225" w:name="_Toc6352"/>
      <w:bookmarkStart w:id="226" w:name="_Toc22516"/>
      <w:bookmarkStart w:id="227" w:name="_Toc14583"/>
      <w:bookmarkStart w:id="228" w:name="_Toc4641"/>
      <w:bookmarkStart w:id="229" w:name="_Toc133783970"/>
      <w:bookmarkStart w:id="230" w:name="_Toc22662"/>
      <w:bookmarkStart w:id="231" w:name="_Toc19081"/>
      <w:bookmarkStart w:id="232" w:name="_Toc16352"/>
      <w:bookmarkStart w:id="233" w:name="_Toc1962"/>
      <w:bookmarkStart w:id="234" w:name="_Toc8892"/>
      <w:bookmarkStart w:id="235" w:name="_Toc31816"/>
      <w:bookmarkStart w:id="236" w:name="_Toc26551"/>
      <w:bookmarkStart w:id="237" w:name="_Toc21086"/>
      <w:bookmarkStart w:id="238" w:name="_Toc16317"/>
      <w:bookmarkStart w:id="239" w:name="_Toc17909"/>
      <w:bookmarkStart w:id="240" w:name="_Toc32382"/>
      <w:bookmarkStart w:id="241" w:name="_Toc20841"/>
      <w:bookmarkStart w:id="242" w:name="_Toc20260"/>
      <w:bookmarkStart w:id="243" w:name="_Toc20329"/>
      <w:bookmarkStart w:id="244" w:name="_Toc19812"/>
      <w:bookmarkStart w:id="245" w:name="_Toc24173"/>
      <w:bookmarkStart w:id="246" w:name="_Toc28398"/>
      <w:bookmarkStart w:id="247" w:name="_Toc10828"/>
      <w:bookmarkStart w:id="248" w:name="_Toc26601"/>
      <w:bookmarkStart w:id="249" w:name="_Toc19805"/>
      <w:bookmarkStart w:id="250" w:name="_Toc22710"/>
      <w:bookmarkStart w:id="251" w:name="_Toc20994"/>
      <w:bookmarkStart w:id="252" w:name="_Toc7258"/>
      <w:bookmarkStart w:id="253" w:name="_Toc27327"/>
    </w:p>
    <w:p>
      <w:pPr>
        <w:spacing w:line="480" w:lineRule="exact"/>
        <w:ind w:firstLine="422" w:firstLineChars="200"/>
        <w:rPr>
          <w:rFonts w:ascii="仿宋" w:hAnsi="仿宋" w:eastAsia="仿宋" w:cs="仿宋"/>
          <w:b/>
          <w:bCs/>
          <w:color w:val="0000FF"/>
          <w:highlight w:val="yellow"/>
        </w:rPr>
      </w:pPr>
    </w:p>
    <w:p>
      <w:pPr>
        <w:adjustRightInd w:val="0"/>
        <w:snapToGrid w:val="0"/>
        <w:spacing w:before="163" w:beforeLines="50" w:after="163" w:afterLines="50" w:line="360" w:lineRule="auto"/>
        <w:jc w:val="center"/>
        <w:outlineLvl w:val="0"/>
        <w:rPr>
          <w:rFonts w:ascii="仿宋" w:hAnsi="仿宋" w:eastAsia="仿宋" w:cs="仿宋"/>
          <w:b/>
          <w:bCs/>
        </w:rPr>
      </w:pPr>
      <w:bookmarkStart w:id="254" w:name="_Toc30238"/>
      <w:r>
        <w:rPr>
          <w:rFonts w:hint="eastAsia" w:ascii="仿宋" w:hAnsi="仿宋" w:eastAsia="仿宋" w:cs="仿宋"/>
          <w:b/>
          <w:bCs/>
        </w:rPr>
        <w:t>第三章供货范围及供货方式</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3"/>
        <w:snapToGrid w:val="0"/>
        <w:spacing w:before="0" w:after="0" w:line="360" w:lineRule="auto"/>
        <w:ind w:left="6" w:firstLine="474"/>
        <w:jc w:val="center"/>
        <w:rPr>
          <w:rFonts w:ascii="仿宋" w:hAnsi="仿宋" w:eastAsia="仿宋" w:cs="仿宋"/>
          <w:kern w:val="2"/>
          <w:sz w:val="24"/>
          <w:szCs w:val="24"/>
        </w:rPr>
      </w:pPr>
      <w:bookmarkStart w:id="255" w:name="_Toc9571"/>
      <w:bookmarkStart w:id="256" w:name="_Toc25354"/>
      <w:bookmarkStart w:id="257" w:name="_Toc29751"/>
      <w:bookmarkStart w:id="258" w:name="_Toc20721"/>
      <w:bookmarkStart w:id="259" w:name="_Toc11227"/>
      <w:bookmarkStart w:id="260" w:name="_Toc969"/>
      <w:bookmarkStart w:id="261" w:name="_Toc18238"/>
      <w:bookmarkStart w:id="262" w:name="_Toc9580"/>
      <w:bookmarkStart w:id="263" w:name="_Toc12581"/>
      <w:bookmarkStart w:id="264" w:name="_Toc32716"/>
      <w:bookmarkStart w:id="265" w:name="_Toc32741"/>
      <w:bookmarkStart w:id="266" w:name="_Toc11979"/>
      <w:bookmarkStart w:id="267" w:name="_Toc5032"/>
      <w:bookmarkStart w:id="268" w:name="_Toc8963"/>
      <w:bookmarkStart w:id="269" w:name="_Toc20301"/>
      <w:bookmarkStart w:id="270" w:name="_Toc5052"/>
      <w:bookmarkStart w:id="271" w:name="_Toc28344"/>
      <w:bookmarkStart w:id="272" w:name="_Toc8238"/>
      <w:bookmarkStart w:id="273" w:name="_Toc133783971"/>
      <w:bookmarkStart w:id="274" w:name="_Toc27567"/>
      <w:bookmarkStart w:id="275" w:name="_Toc32750"/>
      <w:bookmarkStart w:id="276" w:name="_Toc2127"/>
      <w:bookmarkStart w:id="277" w:name="_Toc32542"/>
      <w:bookmarkStart w:id="278" w:name="_Toc19111"/>
      <w:bookmarkStart w:id="279" w:name="_Toc3639"/>
      <w:bookmarkStart w:id="280" w:name="_Toc19155"/>
      <w:bookmarkStart w:id="281" w:name="_Toc27831"/>
      <w:bookmarkStart w:id="282" w:name="_Toc19860"/>
      <w:bookmarkStart w:id="283" w:name="_Toc9994"/>
      <w:bookmarkStart w:id="284" w:name="_Toc2288"/>
      <w:bookmarkStart w:id="285" w:name="_Toc20066"/>
      <w:bookmarkStart w:id="286" w:name="_Toc6864"/>
      <w:bookmarkStart w:id="287" w:name="_Toc3358"/>
      <w:bookmarkStart w:id="288" w:name="_Toc20802"/>
      <w:bookmarkStart w:id="289" w:name="_Toc13578"/>
      <w:bookmarkStart w:id="290" w:name="_Toc31722"/>
      <w:bookmarkStart w:id="291" w:name="_Toc6219"/>
      <w:bookmarkStart w:id="292" w:name="_Toc4896"/>
      <w:bookmarkStart w:id="293" w:name="_Toc16027"/>
      <w:bookmarkStart w:id="294" w:name="_Toc680"/>
      <w:bookmarkStart w:id="295" w:name="_Toc19908"/>
      <w:bookmarkStart w:id="296" w:name="_Toc10323"/>
      <w:bookmarkStart w:id="297" w:name="_Toc5131"/>
      <w:bookmarkStart w:id="298" w:name="_Toc4032"/>
      <w:bookmarkStart w:id="299" w:name="_Toc14383"/>
      <w:bookmarkStart w:id="300" w:name="_Toc17404"/>
      <w:bookmarkStart w:id="301" w:name="_Toc32286"/>
      <w:r>
        <w:rPr>
          <w:rFonts w:hint="eastAsia" w:ascii="仿宋" w:hAnsi="仿宋" w:eastAsia="仿宋" w:cs="仿宋"/>
          <w:kern w:val="2"/>
          <w:sz w:val="24"/>
          <w:szCs w:val="24"/>
        </w:rPr>
        <w:t>第一节供货范围</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napToGrid w:val="0"/>
        <w:spacing w:line="360" w:lineRule="auto"/>
        <w:ind w:left="480"/>
        <w:outlineLvl w:val="2"/>
        <w:rPr>
          <w:rFonts w:ascii="仿宋" w:hAnsi="仿宋" w:eastAsia="仿宋" w:cs="仿宋"/>
          <w:b/>
          <w:bCs/>
        </w:rPr>
      </w:pPr>
      <w:r>
        <w:rPr>
          <w:rFonts w:hint="eastAsia" w:ascii="仿宋" w:hAnsi="仿宋" w:eastAsia="仿宋" w:cs="仿宋"/>
          <w:b/>
          <w:bCs/>
        </w:rPr>
        <w:t>1供货范围</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序号</w:t>
            </w:r>
          </w:p>
        </w:tc>
        <w:tc>
          <w:tcPr>
            <w:tcW w:w="5375"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名称</w:t>
            </w:r>
          </w:p>
        </w:tc>
        <w:tc>
          <w:tcPr>
            <w:tcW w:w="950"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单位</w:t>
            </w:r>
          </w:p>
        </w:tc>
        <w:tc>
          <w:tcPr>
            <w:tcW w:w="1156"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数量</w:t>
            </w:r>
          </w:p>
        </w:tc>
        <w:tc>
          <w:tcPr>
            <w:tcW w:w="827"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81" w:after="81"/>
              <w:jc w:val="center"/>
              <w:rPr>
                <w:rFonts w:ascii="仿宋" w:hAnsi="仿宋" w:eastAsia="仿宋" w:cs="仿宋"/>
                <w:color w:val="FF0000"/>
                <w:sz w:val="21"/>
                <w:szCs w:val="21"/>
                <w:highlight w:val="yellow"/>
              </w:rPr>
            </w:pPr>
            <w:r>
              <w:rPr>
                <w:rFonts w:hint="eastAsia" w:ascii="仿宋" w:hAnsi="仿宋" w:eastAsia="仿宋" w:cs="仿宋"/>
                <w:color w:val="FF0000"/>
                <w:sz w:val="21"/>
                <w:szCs w:val="21"/>
                <w:highlight w:val="yellow"/>
              </w:rPr>
              <w:t>1</w:t>
            </w:r>
          </w:p>
        </w:tc>
        <w:tc>
          <w:tcPr>
            <w:tcW w:w="5375" w:type="dxa"/>
            <w:vAlign w:val="center"/>
          </w:tcPr>
          <w:p>
            <w:pPr>
              <w:pStyle w:val="124"/>
              <w:spacing w:before="81" w:after="81"/>
              <w:jc w:val="left"/>
              <w:rPr>
                <w:rFonts w:ascii="仿宋" w:hAnsi="仿宋" w:eastAsia="仿宋" w:cs="仿宋"/>
                <w:color w:val="FF0000"/>
                <w:sz w:val="21"/>
                <w:szCs w:val="21"/>
                <w:highlight w:val="yellow"/>
              </w:rPr>
            </w:pPr>
            <w:r>
              <w:rPr>
                <w:rFonts w:hint="eastAsia" w:ascii="仿宋" w:hAnsi="仿宋" w:eastAsia="仿宋" w:cs="仿宋"/>
                <w:color w:val="FF0000"/>
                <w:kern w:val="0"/>
                <w:sz w:val="21"/>
                <w:szCs w:val="21"/>
                <w:highlight w:val="yellow"/>
                <w:lang w:val="en-US" w:eastAsia="zh-CN"/>
              </w:rPr>
              <w:t>总装线</w:t>
            </w:r>
            <w:r>
              <w:rPr>
                <w:rFonts w:hint="eastAsia" w:ascii="仿宋" w:hAnsi="仿宋" w:eastAsia="仿宋" w:cs="仿宋"/>
                <w:color w:val="FF0000"/>
                <w:kern w:val="0"/>
                <w:sz w:val="21"/>
                <w:szCs w:val="21"/>
                <w:highlight w:val="yellow"/>
              </w:rPr>
              <w:t>大屏</w:t>
            </w:r>
            <w:r>
              <w:rPr>
                <w:rFonts w:hint="eastAsia" w:ascii="仿宋" w:hAnsi="仿宋" w:eastAsia="仿宋" w:cs="仿宋"/>
                <w:color w:val="FF0000"/>
                <w:kern w:val="0"/>
                <w:sz w:val="21"/>
                <w:szCs w:val="21"/>
                <w:highlight w:val="yellow"/>
                <w:lang w:val="en-US" w:eastAsia="zh-CN"/>
              </w:rPr>
              <w:t>安装</w:t>
            </w:r>
            <w:r>
              <w:rPr>
                <w:rFonts w:hint="eastAsia" w:ascii="仿宋" w:hAnsi="仿宋" w:eastAsia="仿宋" w:cs="仿宋"/>
                <w:color w:val="FF0000"/>
                <w:kern w:val="0"/>
                <w:sz w:val="21"/>
                <w:szCs w:val="21"/>
                <w:highlight w:val="yellow"/>
              </w:rPr>
              <w:t>及辅材</w:t>
            </w:r>
          </w:p>
        </w:tc>
        <w:tc>
          <w:tcPr>
            <w:tcW w:w="950" w:type="dxa"/>
            <w:vAlign w:val="center"/>
          </w:tcPr>
          <w:p>
            <w:pPr>
              <w:spacing w:line="360" w:lineRule="auto"/>
              <w:jc w:val="center"/>
              <w:textAlignment w:val="center"/>
              <w:rPr>
                <w:rFonts w:ascii="仿宋" w:hAnsi="仿宋" w:eastAsia="仿宋" w:cs="仿宋"/>
                <w:color w:val="FF0000"/>
                <w:sz w:val="21"/>
                <w:szCs w:val="21"/>
                <w:highlight w:val="yellow"/>
              </w:rPr>
            </w:pPr>
            <w:r>
              <w:rPr>
                <w:rFonts w:hint="eastAsia" w:ascii="仿宋" w:hAnsi="仿宋" w:eastAsia="仿宋" w:cs="仿宋"/>
                <w:color w:val="FF0000"/>
                <w:sz w:val="21"/>
                <w:szCs w:val="21"/>
                <w:highlight w:val="yellow"/>
              </w:rPr>
              <w:t>套</w:t>
            </w:r>
          </w:p>
        </w:tc>
        <w:tc>
          <w:tcPr>
            <w:tcW w:w="1156" w:type="dxa"/>
            <w:vAlign w:val="center"/>
          </w:tcPr>
          <w:p>
            <w:pPr>
              <w:spacing w:line="360" w:lineRule="auto"/>
              <w:jc w:val="center"/>
              <w:textAlignment w:val="center"/>
              <w:rPr>
                <w:rFonts w:ascii="仿宋" w:hAnsi="仿宋" w:eastAsia="仿宋" w:cs="仿宋"/>
                <w:color w:val="FF0000"/>
                <w:sz w:val="21"/>
                <w:szCs w:val="21"/>
                <w:highlight w:val="yellow"/>
              </w:rPr>
            </w:pPr>
            <w:r>
              <w:rPr>
                <w:rFonts w:hint="eastAsia" w:ascii="仿宋" w:hAnsi="仿宋" w:eastAsia="仿宋" w:cs="仿宋"/>
                <w:color w:val="FF0000"/>
                <w:sz w:val="21"/>
                <w:szCs w:val="21"/>
                <w:highlight w:val="yellow"/>
              </w:rPr>
              <w:t>1</w:t>
            </w:r>
          </w:p>
        </w:tc>
        <w:tc>
          <w:tcPr>
            <w:tcW w:w="827" w:type="dxa"/>
            <w:vAlign w:val="center"/>
          </w:tcPr>
          <w:p>
            <w:pPr>
              <w:spacing w:line="360" w:lineRule="auto"/>
              <w:jc w:val="center"/>
              <w:textAlignment w:val="center"/>
              <w:rPr>
                <w:rFonts w:ascii="仿宋" w:hAnsi="仿宋" w:eastAsia="仿宋" w:cs="仿宋"/>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81" w:after="81"/>
              <w:jc w:val="center"/>
              <w:rPr>
                <w:rFonts w:hint="eastAsia" w:ascii="仿宋" w:hAnsi="仿宋" w:eastAsia="仿宋" w:cs="仿宋"/>
                <w:color w:val="FF0000"/>
                <w:sz w:val="21"/>
                <w:szCs w:val="21"/>
                <w:highlight w:val="yellow"/>
                <w:lang w:val="en-US" w:eastAsia="zh-CN"/>
              </w:rPr>
            </w:pPr>
            <w:r>
              <w:rPr>
                <w:rFonts w:hint="eastAsia" w:ascii="仿宋" w:hAnsi="仿宋" w:eastAsia="仿宋" w:cs="仿宋"/>
                <w:color w:val="FF0000"/>
                <w:sz w:val="21"/>
                <w:szCs w:val="21"/>
                <w:highlight w:val="yellow"/>
                <w:lang w:val="en-US" w:eastAsia="zh-CN"/>
              </w:rPr>
              <w:t>2</w:t>
            </w:r>
          </w:p>
        </w:tc>
        <w:tc>
          <w:tcPr>
            <w:tcW w:w="5375" w:type="dxa"/>
            <w:vAlign w:val="center"/>
          </w:tcPr>
          <w:p>
            <w:pPr>
              <w:pStyle w:val="124"/>
              <w:spacing w:before="81" w:after="81"/>
              <w:jc w:val="left"/>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kern w:val="0"/>
                <w:sz w:val="21"/>
                <w:szCs w:val="21"/>
                <w:highlight w:val="yellow"/>
                <w:lang w:val="en-US" w:eastAsia="zh-CN"/>
              </w:rPr>
              <w:t>车身线</w:t>
            </w:r>
            <w:r>
              <w:rPr>
                <w:rFonts w:hint="eastAsia" w:ascii="仿宋" w:hAnsi="仿宋" w:eastAsia="仿宋" w:cs="仿宋"/>
                <w:color w:val="FF0000"/>
                <w:kern w:val="0"/>
                <w:sz w:val="21"/>
                <w:szCs w:val="21"/>
                <w:highlight w:val="yellow"/>
              </w:rPr>
              <w:t>大屏</w:t>
            </w:r>
            <w:r>
              <w:rPr>
                <w:rFonts w:hint="eastAsia" w:ascii="仿宋" w:hAnsi="仿宋" w:eastAsia="仿宋" w:cs="仿宋"/>
                <w:color w:val="FF0000"/>
                <w:kern w:val="0"/>
                <w:sz w:val="21"/>
                <w:szCs w:val="21"/>
                <w:highlight w:val="yellow"/>
                <w:lang w:val="en-US" w:eastAsia="zh-CN"/>
              </w:rPr>
              <w:t>安装</w:t>
            </w:r>
            <w:r>
              <w:rPr>
                <w:rFonts w:hint="eastAsia" w:ascii="仿宋" w:hAnsi="仿宋" w:eastAsia="仿宋" w:cs="仿宋"/>
                <w:color w:val="FF0000"/>
                <w:kern w:val="0"/>
                <w:sz w:val="21"/>
                <w:szCs w:val="21"/>
                <w:highlight w:val="yellow"/>
              </w:rPr>
              <w:t>及辅材</w:t>
            </w:r>
          </w:p>
        </w:tc>
        <w:tc>
          <w:tcPr>
            <w:tcW w:w="950"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1</w:t>
            </w:r>
          </w:p>
        </w:tc>
        <w:tc>
          <w:tcPr>
            <w:tcW w:w="827" w:type="dxa"/>
            <w:vAlign w:val="center"/>
          </w:tcPr>
          <w:p>
            <w:pPr>
              <w:spacing w:line="360" w:lineRule="auto"/>
              <w:jc w:val="center"/>
              <w:textAlignment w:val="center"/>
              <w:rPr>
                <w:rFonts w:ascii="仿宋" w:hAnsi="仿宋" w:eastAsia="仿宋" w:cs="仿宋"/>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81" w:after="81"/>
              <w:jc w:val="center"/>
              <w:rPr>
                <w:rFonts w:hint="eastAsia" w:ascii="仿宋" w:hAnsi="仿宋" w:eastAsia="仿宋" w:cs="仿宋"/>
                <w:color w:val="FF0000"/>
                <w:sz w:val="21"/>
                <w:szCs w:val="21"/>
                <w:highlight w:val="yellow"/>
                <w:lang w:val="en-US" w:eastAsia="zh-CN"/>
              </w:rPr>
            </w:pPr>
            <w:r>
              <w:rPr>
                <w:rFonts w:hint="eastAsia" w:ascii="仿宋" w:hAnsi="仿宋" w:eastAsia="仿宋" w:cs="仿宋"/>
                <w:color w:val="FF0000"/>
                <w:sz w:val="21"/>
                <w:szCs w:val="21"/>
                <w:highlight w:val="yellow"/>
                <w:lang w:val="en-US" w:eastAsia="zh-CN"/>
              </w:rPr>
              <w:t>3</w:t>
            </w:r>
          </w:p>
        </w:tc>
        <w:tc>
          <w:tcPr>
            <w:tcW w:w="5375" w:type="dxa"/>
            <w:vAlign w:val="center"/>
          </w:tcPr>
          <w:p>
            <w:pPr>
              <w:pStyle w:val="124"/>
              <w:spacing w:before="81" w:after="81"/>
              <w:jc w:val="left"/>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kern w:val="0"/>
                <w:sz w:val="21"/>
                <w:szCs w:val="21"/>
                <w:highlight w:val="yellow"/>
                <w:lang w:val="en-US" w:eastAsia="zh-CN"/>
              </w:rPr>
              <w:t>仓库</w:t>
            </w:r>
            <w:r>
              <w:rPr>
                <w:rFonts w:hint="eastAsia" w:ascii="仿宋" w:hAnsi="仿宋" w:eastAsia="仿宋" w:cs="仿宋"/>
                <w:color w:val="FF0000"/>
                <w:kern w:val="0"/>
                <w:sz w:val="21"/>
                <w:szCs w:val="21"/>
                <w:highlight w:val="yellow"/>
              </w:rPr>
              <w:t>大屏</w:t>
            </w:r>
            <w:r>
              <w:rPr>
                <w:rFonts w:hint="eastAsia" w:ascii="仿宋" w:hAnsi="仿宋" w:eastAsia="仿宋" w:cs="仿宋"/>
                <w:color w:val="FF0000"/>
                <w:kern w:val="0"/>
                <w:sz w:val="21"/>
                <w:szCs w:val="21"/>
                <w:highlight w:val="yellow"/>
                <w:lang w:val="en-US" w:eastAsia="zh-CN"/>
              </w:rPr>
              <w:t>安装</w:t>
            </w:r>
            <w:r>
              <w:rPr>
                <w:rFonts w:hint="eastAsia" w:ascii="仿宋" w:hAnsi="仿宋" w:eastAsia="仿宋" w:cs="仿宋"/>
                <w:color w:val="FF0000"/>
                <w:kern w:val="0"/>
                <w:sz w:val="21"/>
                <w:szCs w:val="21"/>
                <w:highlight w:val="yellow"/>
              </w:rPr>
              <w:t>及辅材</w:t>
            </w:r>
          </w:p>
        </w:tc>
        <w:tc>
          <w:tcPr>
            <w:tcW w:w="950"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1</w:t>
            </w:r>
          </w:p>
        </w:tc>
        <w:tc>
          <w:tcPr>
            <w:tcW w:w="827" w:type="dxa"/>
            <w:vAlign w:val="center"/>
          </w:tcPr>
          <w:p>
            <w:pPr>
              <w:spacing w:line="360" w:lineRule="auto"/>
              <w:jc w:val="center"/>
              <w:textAlignment w:val="center"/>
              <w:rPr>
                <w:rFonts w:ascii="仿宋" w:hAnsi="仿宋" w:eastAsia="仿宋" w:cs="仿宋"/>
                <w:color w:val="FF0000"/>
                <w:sz w:val="21"/>
                <w:szCs w:val="21"/>
              </w:rPr>
            </w:pPr>
          </w:p>
        </w:tc>
      </w:tr>
    </w:tbl>
    <w:p/>
    <w:p>
      <w:pPr>
        <w:snapToGrid w:val="0"/>
        <w:spacing w:line="360" w:lineRule="auto"/>
        <w:ind w:left="480"/>
        <w:outlineLvl w:val="2"/>
        <w:rPr>
          <w:rFonts w:ascii="仿宋" w:hAnsi="仿宋" w:eastAsia="仿宋" w:cs="仿宋"/>
          <w:b/>
          <w:bCs/>
        </w:rPr>
      </w:pPr>
      <w:bookmarkStart w:id="302" w:name="_Toc30004"/>
      <w:bookmarkStart w:id="303" w:name="_Toc30087"/>
      <w:bookmarkStart w:id="304" w:name="_Toc73112406"/>
      <w:bookmarkStart w:id="305" w:name="_Toc11531"/>
      <w:bookmarkStart w:id="306" w:name="_Toc19187"/>
      <w:bookmarkStart w:id="307" w:name="_Toc434"/>
      <w:bookmarkStart w:id="308" w:name="_Toc18018"/>
      <w:bookmarkStart w:id="309" w:name="_Toc8330"/>
      <w:bookmarkStart w:id="310" w:name="_Toc3726"/>
      <w:bookmarkStart w:id="311" w:name="_Toc10211"/>
      <w:bookmarkStart w:id="312" w:name="_Toc31074"/>
      <w:bookmarkStart w:id="313" w:name="_Toc25570"/>
      <w:bookmarkStart w:id="314" w:name="_Toc31685"/>
      <w:bookmarkStart w:id="315" w:name="_Toc29389"/>
      <w:bookmarkStart w:id="316" w:name="_Toc24079"/>
      <w:bookmarkStart w:id="317" w:name="_Toc6916"/>
      <w:bookmarkStart w:id="318" w:name="_Toc10027"/>
      <w:bookmarkStart w:id="319" w:name="_Toc2744"/>
      <w:bookmarkStart w:id="320" w:name="_Toc20059"/>
      <w:bookmarkStart w:id="321" w:name="_Toc31723"/>
      <w:bookmarkStart w:id="322" w:name="_Toc5521"/>
      <w:r>
        <w:rPr>
          <w:rFonts w:hint="eastAsia" w:ascii="仿宋" w:hAnsi="仿宋" w:eastAsia="仿宋" w:cs="仿宋"/>
          <w:b/>
          <w:bCs/>
        </w:rPr>
        <w:t>2备品备件、易损件和专用耗材供货范围</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2.1招标方招标文件所指备品备件、易损件是招标方为保证货物质保期之后正常运行</w:t>
      </w:r>
      <w:r>
        <w:rPr>
          <w:rFonts w:hint="eastAsia" w:ascii="仿宋" w:hAnsi="仿宋" w:eastAsia="仿宋" w:cs="仿宋"/>
          <w:highlight w:val="yellow"/>
        </w:rPr>
        <w:t>一年</w:t>
      </w:r>
      <w:r>
        <w:rPr>
          <w:rFonts w:hint="eastAsia" w:ascii="仿宋" w:hAnsi="仿宋" w:eastAsia="仿宋" w:cs="仿宋"/>
        </w:rPr>
        <w:t>所自备自用的备品备件、易损件。</w:t>
      </w:r>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2.2投标方按照招标文件要求提供、或投标方认为招标方应当储备的备品备件、易损件，投标方应当在投标报价部分分别说明所列备品备件、易损件的使用时间。</w:t>
      </w:r>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2.3投标文件中，应当有备品备件、易损件的详细清单（内容包括名称、型号、规格、单位、数量、生产厂家、单价、总价等）。</w:t>
      </w:r>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2.4备品备件、易损件的费用应分类单列，并计入投标总报价之内。</w:t>
      </w:r>
    </w:p>
    <w:p>
      <w:pPr>
        <w:adjustRightInd w:val="0"/>
        <w:snapToGrid w:val="0"/>
        <w:spacing w:before="163" w:beforeLines="50" w:after="163" w:afterLines="50" w:line="360" w:lineRule="auto"/>
        <w:jc w:val="center"/>
        <w:outlineLvl w:val="1"/>
        <w:rPr>
          <w:rFonts w:ascii="仿宋" w:hAnsi="仿宋" w:eastAsia="仿宋" w:cs="仿宋"/>
          <w:b/>
          <w:bCs/>
        </w:rPr>
      </w:pPr>
      <w:bookmarkStart w:id="323" w:name="_Toc4183"/>
      <w:bookmarkStart w:id="324" w:name="_Toc5634"/>
      <w:bookmarkStart w:id="325" w:name="_Toc603"/>
      <w:bookmarkStart w:id="326" w:name="_Toc81"/>
      <w:bookmarkStart w:id="327" w:name="_Toc4381"/>
      <w:bookmarkStart w:id="328" w:name="_Toc29792"/>
      <w:bookmarkStart w:id="329" w:name="_Toc17572"/>
      <w:bookmarkStart w:id="330" w:name="_Toc18839"/>
      <w:bookmarkStart w:id="331" w:name="_Toc25983"/>
      <w:bookmarkStart w:id="332" w:name="_Toc17660"/>
      <w:bookmarkStart w:id="333" w:name="_Toc23025"/>
      <w:bookmarkStart w:id="334" w:name="_Toc15620"/>
      <w:bookmarkStart w:id="335" w:name="_Toc16163"/>
      <w:bookmarkStart w:id="336" w:name="_Toc4268"/>
      <w:bookmarkStart w:id="337" w:name="_Toc3548"/>
      <w:bookmarkStart w:id="338" w:name="_Toc23856"/>
      <w:bookmarkStart w:id="339" w:name="_Toc21360"/>
      <w:bookmarkStart w:id="340" w:name="_Toc20754"/>
      <w:bookmarkStart w:id="341" w:name="_Toc15671"/>
      <w:bookmarkStart w:id="342" w:name="_Toc17613"/>
      <w:bookmarkStart w:id="343" w:name="_Toc16689"/>
      <w:bookmarkStart w:id="344" w:name="_Toc27960"/>
      <w:bookmarkStart w:id="345" w:name="_Toc4676"/>
      <w:bookmarkStart w:id="346" w:name="_Toc1897"/>
      <w:bookmarkStart w:id="347" w:name="_Toc18492"/>
      <w:bookmarkStart w:id="348" w:name="_Toc8309"/>
      <w:bookmarkStart w:id="349" w:name="_Toc22358"/>
      <w:bookmarkStart w:id="350" w:name="_Toc30635"/>
      <w:bookmarkStart w:id="351" w:name="_Toc29107"/>
      <w:bookmarkStart w:id="352" w:name="_Toc12288"/>
      <w:bookmarkStart w:id="353" w:name="_Toc4601"/>
      <w:bookmarkStart w:id="354" w:name="_Toc3580"/>
      <w:bookmarkStart w:id="355" w:name="_Toc18118"/>
      <w:bookmarkStart w:id="356" w:name="_Toc133783972"/>
      <w:bookmarkStart w:id="357" w:name="_Toc10692"/>
      <w:bookmarkStart w:id="358" w:name="_Toc24898"/>
      <w:bookmarkStart w:id="359" w:name="_Toc11851"/>
      <w:bookmarkStart w:id="360" w:name="_Toc11837"/>
      <w:bookmarkStart w:id="361" w:name="_Toc27636"/>
      <w:bookmarkStart w:id="362" w:name="_Toc19194"/>
      <w:bookmarkStart w:id="363" w:name="_Toc1998"/>
      <w:bookmarkStart w:id="364" w:name="_Toc6313"/>
      <w:bookmarkStart w:id="365" w:name="_Toc13201"/>
      <w:r>
        <w:rPr>
          <w:rFonts w:hint="eastAsia" w:ascii="仿宋" w:hAnsi="仿宋" w:eastAsia="仿宋" w:cs="仿宋"/>
          <w:b/>
          <w:bCs/>
        </w:rPr>
        <w:t>第二节供货方式</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snapToGrid w:val="0"/>
        <w:spacing w:line="360" w:lineRule="auto"/>
        <w:ind w:left="480"/>
        <w:outlineLvl w:val="2"/>
        <w:rPr>
          <w:rFonts w:ascii="仿宋" w:hAnsi="仿宋" w:eastAsia="仿宋" w:cs="仿宋"/>
          <w:b/>
          <w:bCs/>
        </w:rPr>
      </w:pPr>
      <w:bookmarkStart w:id="366" w:name="_Toc28360"/>
      <w:bookmarkStart w:id="367" w:name="_Toc73112409"/>
      <w:bookmarkStart w:id="368" w:name="_Toc1116"/>
      <w:bookmarkStart w:id="369" w:name="_Toc28534"/>
      <w:bookmarkStart w:id="370" w:name="_Toc14135"/>
      <w:bookmarkStart w:id="371" w:name="_Toc28962"/>
      <w:bookmarkStart w:id="372" w:name="_Toc1474"/>
      <w:bookmarkStart w:id="373" w:name="_Toc4791"/>
      <w:bookmarkStart w:id="374" w:name="_Toc28759"/>
      <w:bookmarkStart w:id="375" w:name="_Toc19237"/>
      <w:bookmarkStart w:id="376" w:name="_Toc20263"/>
      <w:bookmarkStart w:id="377" w:name="_Toc3032"/>
      <w:bookmarkStart w:id="378" w:name="_Toc27005"/>
      <w:bookmarkStart w:id="379" w:name="_Toc22679"/>
      <w:bookmarkStart w:id="380" w:name="_Toc4344"/>
      <w:bookmarkStart w:id="381" w:name="_Toc28222"/>
      <w:bookmarkStart w:id="382" w:name="_Toc18282"/>
      <w:bookmarkStart w:id="383" w:name="_Toc24179"/>
      <w:bookmarkStart w:id="384" w:name="_Toc11533"/>
      <w:bookmarkStart w:id="385" w:name="_Toc32491"/>
      <w:bookmarkStart w:id="386" w:name="_Toc10286"/>
      <w:r>
        <w:rPr>
          <w:rFonts w:hint="eastAsia" w:ascii="仿宋" w:hAnsi="仿宋" w:eastAsia="仿宋" w:cs="仿宋"/>
          <w:b/>
          <w:bCs/>
        </w:rPr>
        <w:t>1供货地点</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snapToGrid w:val="0"/>
        <w:spacing w:line="360" w:lineRule="auto"/>
        <w:ind w:left="480"/>
        <w:outlineLvl w:val="2"/>
        <w:rPr>
          <w:rFonts w:ascii="仿宋" w:hAnsi="仿宋" w:eastAsia="仿宋" w:cs="仿宋"/>
          <w:highlight w:val="yellow"/>
        </w:rPr>
      </w:pPr>
      <w:bookmarkStart w:id="387" w:name="_Toc6707"/>
      <w:bookmarkStart w:id="388" w:name="_Toc531"/>
      <w:bookmarkStart w:id="389" w:name="_Toc26611"/>
      <w:bookmarkStart w:id="390" w:name="_Toc26178"/>
      <w:bookmarkStart w:id="391" w:name="_Toc9856"/>
      <w:bookmarkStart w:id="392" w:name="_Toc20257"/>
      <w:bookmarkStart w:id="393" w:name="_Toc8043"/>
      <w:bookmarkStart w:id="394" w:name="_Toc6963"/>
      <w:bookmarkStart w:id="395" w:name="_Toc11086"/>
      <w:bookmarkStart w:id="396" w:name="_Toc5862"/>
      <w:bookmarkStart w:id="397" w:name="_Toc27558"/>
      <w:bookmarkStart w:id="398" w:name="_Toc21521"/>
      <w:bookmarkStart w:id="399" w:name="_Toc22044"/>
      <w:bookmarkStart w:id="400" w:name="_Toc4215"/>
      <w:bookmarkStart w:id="401" w:name="_Toc31657"/>
      <w:bookmarkStart w:id="402" w:name="_Toc22977"/>
      <w:bookmarkStart w:id="403" w:name="_Toc27724"/>
      <w:bookmarkStart w:id="404" w:name="_Toc30858"/>
      <w:bookmarkStart w:id="405" w:name="_Toc2280"/>
      <w:bookmarkStart w:id="406" w:name="_Toc73112410"/>
      <w:bookmarkStart w:id="407" w:name="_Toc11152"/>
      <w:r>
        <w:rPr>
          <w:rFonts w:hint="eastAsia" w:ascii="仿宋" w:hAnsi="仿宋" w:eastAsia="仿宋" w:cs="仿宋"/>
          <w:highlight w:val="yellow"/>
        </w:rPr>
        <w:t>中国重汽集团济南特种车有限公司</w:t>
      </w:r>
    </w:p>
    <w:p>
      <w:pPr>
        <w:snapToGrid w:val="0"/>
        <w:spacing w:line="360" w:lineRule="auto"/>
        <w:ind w:left="480"/>
        <w:outlineLvl w:val="2"/>
        <w:rPr>
          <w:rFonts w:ascii="仿宋" w:hAnsi="仿宋" w:eastAsia="仿宋" w:cs="仿宋"/>
          <w:b/>
          <w:bCs/>
        </w:rPr>
      </w:pPr>
      <w:r>
        <w:rPr>
          <w:rFonts w:hint="eastAsia" w:ascii="仿宋" w:hAnsi="仿宋" w:eastAsia="仿宋" w:cs="仿宋"/>
          <w:b/>
          <w:bCs/>
        </w:rPr>
        <w:t>2供货时间</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snapToGrid w:val="0"/>
        <w:spacing w:line="360" w:lineRule="auto"/>
        <w:ind w:firstLine="420" w:firstLineChars="200"/>
        <w:jc w:val="left"/>
        <w:rPr>
          <w:rFonts w:ascii="仿宋" w:hAnsi="仿宋" w:eastAsia="仿宋" w:cs="仿宋"/>
          <w:strike/>
          <w:highlight w:val="yellow"/>
        </w:rPr>
      </w:pPr>
      <w:r>
        <w:rPr>
          <w:rFonts w:hint="eastAsia" w:ascii="仿宋" w:hAnsi="仿宋" w:eastAsia="仿宋" w:cs="仿宋"/>
          <w:highlight w:val="yellow"/>
        </w:rPr>
        <w:t>2.1自合同签字生效之日起，</w:t>
      </w:r>
      <w:r>
        <w:rPr>
          <w:rFonts w:ascii="仿宋" w:hAnsi="仿宋" w:eastAsia="仿宋" w:cs="仿宋"/>
          <w:highlight w:val="yellow"/>
          <w:u w:val="single"/>
          <w:shd w:val="pct10" w:color="auto" w:fill="FFFFFF"/>
        </w:rPr>
        <w:t>10</w:t>
      </w:r>
      <w:r>
        <w:rPr>
          <w:rFonts w:hint="eastAsia" w:ascii="仿宋" w:hAnsi="仿宋" w:eastAsia="仿宋" w:cs="仿宋"/>
          <w:highlight w:val="yellow"/>
        </w:rPr>
        <w:t>日历日之内交货至供货地点。</w:t>
      </w:r>
    </w:p>
    <w:p>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2.2连续</w:t>
      </w:r>
      <w:r>
        <w:rPr>
          <w:rFonts w:ascii="仿宋" w:hAnsi="仿宋" w:eastAsia="仿宋" w:cs="仿宋"/>
          <w:highlight w:val="yellow"/>
          <w:u w:val="single"/>
        </w:rPr>
        <w:t>15</w:t>
      </w:r>
      <w:r>
        <w:rPr>
          <w:rFonts w:hint="eastAsia" w:ascii="仿宋" w:hAnsi="仿宋" w:eastAsia="仿宋" w:cs="仿宋"/>
          <w:highlight w:val="yellow"/>
        </w:rPr>
        <w:t>个日历日之内安装调试完毕；</w:t>
      </w:r>
    </w:p>
    <w:p>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w:t>
      </w:r>
      <w:r>
        <w:rPr>
          <w:rFonts w:ascii="仿宋" w:hAnsi="仿宋" w:eastAsia="仿宋" w:cs="仿宋"/>
          <w:highlight w:val="yellow"/>
        </w:rPr>
        <w:t>3</w:t>
      </w:r>
      <w:r>
        <w:rPr>
          <w:rFonts w:hint="eastAsia" w:ascii="仿宋" w:hAnsi="仿宋" w:eastAsia="仿宋" w:cs="仿宋"/>
          <w:highlight w:val="yellow"/>
        </w:rPr>
        <w:t>必要时，投标方应当提供详细的工期计划。</w:t>
      </w:r>
    </w:p>
    <w:p>
      <w:pPr>
        <w:snapToGrid w:val="0"/>
        <w:spacing w:line="360" w:lineRule="auto"/>
        <w:ind w:left="480"/>
        <w:outlineLvl w:val="2"/>
        <w:rPr>
          <w:rFonts w:ascii="仿宋" w:hAnsi="仿宋" w:eastAsia="仿宋" w:cs="仿宋"/>
          <w:b/>
          <w:bCs/>
        </w:rPr>
      </w:pPr>
      <w:bookmarkStart w:id="408" w:name="_Toc18153"/>
      <w:bookmarkStart w:id="409" w:name="_Toc16960"/>
      <w:bookmarkStart w:id="410" w:name="_Toc8193"/>
      <w:bookmarkStart w:id="411" w:name="_Toc4612"/>
      <w:bookmarkStart w:id="412" w:name="_Toc24587"/>
      <w:bookmarkStart w:id="413" w:name="_Toc22968"/>
      <w:bookmarkStart w:id="414" w:name="_Toc17351"/>
      <w:bookmarkStart w:id="415" w:name="_Toc73112411"/>
      <w:bookmarkStart w:id="416" w:name="_Toc8419"/>
      <w:bookmarkStart w:id="417" w:name="_Toc29786"/>
      <w:bookmarkStart w:id="418" w:name="_Toc23122"/>
      <w:bookmarkStart w:id="419" w:name="_Toc18845"/>
      <w:bookmarkStart w:id="420" w:name="_Toc22617"/>
      <w:bookmarkStart w:id="421" w:name="_Toc9507"/>
      <w:bookmarkStart w:id="422" w:name="_Toc22394"/>
      <w:bookmarkStart w:id="423" w:name="_Toc5288"/>
      <w:bookmarkStart w:id="424" w:name="_Toc30983"/>
      <w:bookmarkStart w:id="425" w:name="_Toc17489"/>
      <w:bookmarkStart w:id="426" w:name="_Toc4431"/>
      <w:bookmarkStart w:id="427" w:name="_Toc11749"/>
      <w:bookmarkStart w:id="428" w:name="_Toc31485"/>
      <w:r>
        <w:rPr>
          <w:rFonts w:hint="eastAsia" w:ascii="仿宋" w:hAnsi="仿宋" w:eastAsia="仿宋" w:cs="仿宋"/>
          <w:b/>
          <w:bCs/>
        </w:rPr>
        <w:t>3质保期</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3.1投标方所提供货物涉及的全部供货范围内的设备、材料、零配件和工器具等，除合同特别约定外，其质保期均自终验收签字生效之日起</w:t>
      </w:r>
      <w:r>
        <w:rPr>
          <w:rFonts w:ascii="仿宋" w:hAnsi="仿宋" w:eastAsia="仿宋" w:cs="仿宋"/>
          <w:highlight w:val="yellow"/>
          <w:u w:val="single"/>
        </w:rPr>
        <w:t>12</w:t>
      </w:r>
      <w:r>
        <w:rPr>
          <w:rFonts w:hint="eastAsia" w:ascii="仿宋" w:hAnsi="仿宋" w:eastAsia="仿宋" w:cs="仿宋"/>
          <w:highlight w:val="yellow"/>
          <w:u w:val="single"/>
        </w:rPr>
        <w:t xml:space="preserve"> </w:t>
      </w:r>
      <w:r>
        <w:rPr>
          <w:rFonts w:hint="eastAsia" w:ascii="仿宋" w:hAnsi="仿宋" w:eastAsia="仿宋" w:cs="仿宋"/>
          <w:highlight w:val="yellow"/>
        </w:rPr>
        <w:t>个月。</w:t>
      </w:r>
    </w:p>
    <w:p>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ascii="仿宋" w:hAnsi="仿宋" w:eastAsia="仿宋" w:cs="仿宋"/>
          <w:b/>
          <w:bCs/>
        </w:rPr>
      </w:pPr>
      <w:bookmarkStart w:id="429" w:name="_Toc21924"/>
      <w:bookmarkStart w:id="430" w:name="_Toc27080"/>
      <w:bookmarkStart w:id="431" w:name="_Toc14622"/>
      <w:bookmarkStart w:id="432" w:name="_Toc27729"/>
      <w:bookmarkStart w:id="433" w:name="_Toc19011"/>
      <w:bookmarkStart w:id="434" w:name="_Toc21555"/>
      <w:bookmarkStart w:id="435" w:name="_Toc73112412"/>
      <w:bookmarkStart w:id="436" w:name="_Toc10272"/>
      <w:bookmarkStart w:id="437" w:name="_Toc20248"/>
      <w:bookmarkStart w:id="438" w:name="_Toc22951"/>
      <w:bookmarkStart w:id="439" w:name="_Toc426"/>
      <w:bookmarkStart w:id="440" w:name="_Toc16664"/>
      <w:bookmarkStart w:id="441" w:name="_Toc5126"/>
      <w:bookmarkStart w:id="442" w:name="_Toc27377"/>
      <w:bookmarkStart w:id="443" w:name="_Toc12791"/>
      <w:bookmarkStart w:id="444" w:name="_Toc29090"/>
      <w:bookmarkStart w:id="445" w:name="_Toc28907"/>
      <w:bookmarkStart w:id="446" w:name="_Toc20400"/>
      <w:bookmarkStart w:id="447" w:name="_Toc17320"/>
      <w:bookmarkStart w:id="448" w:name="_Toc16381"/>
      <w:bookmarkStart w:id="449" w:name="_Toc26040"/>
      <w:r>
        <w:rPr>
          <w:rFonts w:hint="eastAsia" w:ascii="仿宋" w:hAnsi="仿宋" w:eastAsia="仿宋" w:cs="仿宋"/>
          <w:b/>
          <w:bCs/>
        </w:rPr>
        <w:t>4包装</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rPr>
      </w:pPr>
      <w:bookmarkStart w:id="450" w:name="_Toc1857"/>
      <w:bookmarkStart w:id="451" w:name="_Toc21886"/>
      <w:bookmarkStart w:id="452" w:name="_Toc22992"/>
      <w:bookmarkStart w:id="453" w:name="_Toc73112413"/>
      <w:bookmarkStart w:id="454" w:name="_Toc4346"/>
      <w:bookmarkStart w:id="455" w:name="_Toc26302"/>
      <w:bookmarkStart w:id="456" w:name="_Toc17881"/>
      <w:bookmarkStart w:id="457" w:name="_Toc32266"/>
      <w:bookmarkStart w:id="458" w:name="_Toc24996"/>
      <w:bookmarkStart w:id="459" w:name="_Toc20536"/>
      <w:bookmarkStart w:id="460" w:name="_Toc8"/>
      <w:bookmarkStart w:id="461" w:name="_Toc31538"/>
      <w:bookmarkStart w:id="462" w:name="_Toc7046"/>
      <w:bookmarkStart w:id="463" w:name="_Toc17990"/>
      <w:bookmarkStart w:id="464" w:name="_Toc23221"/>
      <w:bookmarkStart w:id="465" w:name="_Toc22949"/>
      <w:bookmarkStart w:id="466" w:name="_Toc25305"/>
      <w:bookmarkStart w:id="467" w:name="_Toc21308"/>
      <w:bookmarkStart w:id="468" w:name="_Toc5373"/>
      <w:bookmarkStart w:id="469" w:name="_Toc22792"/>
      <w:bookmarkStart w:id="470" w:name="_Toc7889"/>
      <w:r>
        <w:rPr>
          <w:rFonts w:hint="eastAsia" w:ascii="仿宋" w:hAnsi="仿宋" w:eastAsia="仿宋" w:cs="仿宋"/>
          <w:b/>
          <w:bCs/>
        </w:rPr>
        <w:t>5运输</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471" w:name="_Toc133783973"/>
    </w:p>
    <w:p>
      <w:pPr>
        <w:adjustRightInd w:val="0"/>
        <w:snapToGrid w:val="0"/>
        <w:spacing w:before="163" w:beforeLines="50" w:after="163" w:afterLines="50" w:line="360" w:lineRule="auto"/>
        <w:jc w:val="center"/>
        <w:outlineLvl w:val="0"/>
        <w:rPr>
          <w:rFonts w:ascii="仿宋" w:hAnsi="仿宋" w:eastAsia="仿宋" w:cs="仿宋"/>
          <w:b/>
          <w:bCs/>
        </w:rPr>
      </w:pPr>
      <w:bookmarkStart w:id="472" w:name="_Toc3739"/>
      <w:bookmarkStart w:id="473" w:name="_Toc7672"/>
      <w:bookmarkStart w:id="474" w:name="_Toc29063"/>
      <w:bookmarkStart w:id="475" w:name="_Toc14916"/>
      <w:bookmarkStart w:id="476" w:name="_Toc11027"/>
      <w:bookmarkStart w:id="477" w:name="_Toc25780"/>
      <w:bookmarkStart w:id="478" w:name="_Toc31301"/>
      <w:bookmarkStart w:id="479" w:name="_Toc14862"/>
      <w:bookmarkStart w:id="480" w:name="_Toc8515"/>
      <w:bookmarkStart w:id="481" w:name="_Toc16036"/>
      <w:bookmarkStart w:id="482" w:name="_Toc19133"/>
      <w:bookmarkStart w:id="483" w:name="_Toc10894"/>
      <w:bookmarkStart w:id="484" w:name="_Toc24415"/>
      <w:bookmarkStart w:id="485" w:name="_Toc24978"/>
      <w:bookmarkStart w:id="486" w:name="_Toc27169"/>
      <w:bookmarkStart w:id="487" w:name="_Toc25044"/>
      <w:bookmarkStart w:id="488" w:name="_Toc28164"/>
      <w:bookmarkStart w:id="489" w:name="_Toc7501"/>
      <w:bookmarkStart w:id="490" w:name="_Toc23663"/>
      <w:bookmarkStart w:id="491" w:name="_Toc26651"/>
      <w:bookmarkStart w:id="492" w:name="_Toc13927"/>
      <w:bookmarkStart w:id="493" w:name="_Toc12478"/>
      <w:bookmarkStart w:id="494" w:name="_Toc23255"/>
      <w:bookmarkStart w:id="495" w:name="_Toc19986"/>
      <w:bookmarkStart w:id="496" w:name="_Toc9059"/>
      <w:bookmarkStart w:id="497" w:name="_Toc28211"/>
      <w:bookmarkStart w:id="498" w:name="_Toc14171"/>
      <w:bookmarkStart w:id="499" w:name="_Toc15153"/>
      <w:bookmarkStart w:id="500" w:name="_Toc14414"/>
      <w:bookmarkStart w:id="501" w:name="_Toc14023"/>
      <w:bookmarkStart w:id="502" w:name="_Toc26671"/>
      <w:bookmarkStart w:id="503" w:name="_Toc12021"/>
      <w:bookmarkStart w:id="504" w:name="_Toc14229"/>
      <w:bookmarkStart w:id="505" w:name="_Toc10676"/>
      <w:bookmarkStart w:id="506" w:name="_Toc22680"/>
      <w:bookmarkStart w:id="507" w:name="_Toc2668"/>
      <w:bookmarkStart w:id="508" w:name="_Toc25292"/>
      <w:bookmarkStart w:id="509" w:name="_Toc1740"/>
      <w:bookmarkStart w:id="510" w:name="_Toc24397"/>
      <w:bookmarkStart w:id="511" w:name="_Toc27085"/>
      <w:bookmarkStart w:id="512" w:name="_Toc18423"/>
      <w:bookmarkStart w:id="513" w:name="_Toc10275"/>
      <w:bookmarkStart w:id="514" w:name="_Toc32280"/>
      <w:r>
        <w:rPr>
          <w:rFonts w:hint="eastAsia" w:ascii="仿宋" w:hAnsi="仿宋" w:eastAsia="仿宋" w:cs="仿宋"/>
          <w:b/>
          <w:bCs/>
        </w:rPr>
        <w:t>第四章售中售后服务</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snapToGrid w:val="0"/>
        <w:spacing w:line="360" w:lineRule="auto"/>
        <w:ind w:left="480"/>
        <w:outlineLvl w:val="1"/>
        <w:rPr>
          <w:rFonts w:ascii="仿宋" w:hAnsi="仿宋" w:eastAsia="仿宋" w:cs="仿宋"/>
          <w:b/>
          <w:bCs/>
          <w:highlight w:val="yellow"/>
        </w:rPr>
      </w:pPr>
      <w:bookmarkStart w:id="515" w:name="_Toc10787"/>
      <w:bookmarkStart w:id="516" w:name="_Toc24654"/>
      <w:bookmarkStart w:id="517" w:name="_Toc8910"/>
      <w:bookmarkStart w:id="518" w:name="_Toc17645"/>
      <w:bookmarkStart w:id="519" w:name="_Toc9079"/>
      <w:bookmarkStart w:id="520" w:name="_Toc28487"/>
      <w:bookmarkStart w:id="521" w:name="_Toc23892"/>
      <w:bookmarkStart w:id="522" w:name="_Toc18522"/>
      <w:bookmarkStart w:id="523" w:name="_Toc9919"/>
      <w:bookmarkStart w:id="524" w:name="_Toc14199"/>
      <w:bookmarkStart w:id="525" w:name="_Toc23541"/>
      <w:bookmarkStart w:id="526" w:name="_Toc20772"/>
      <w:bookmarkStart w:id="527" w:name="_Toc3722"/>
      <w:bookmarkStart w:id="528" w:name="_Toc29321"/>
      <w:bookmarkStart w:id="529" w:name="_Toc19576"/>
      <w:bookmarkStart w:id="530" w:name="_Toc344"/>
      <w:bookmarkStart w:id="531" w:name="_Toc217"/>
      <w:bookmarkStart w:id="532" w:name="_Toc4180"/>
      <w:bookmarkStart w:id="533" w:name="_Toc20514"/>
      <w:bookmarkStart w:id="534" w:name="_Toc788"/>
      <w:bookmarkStart w:id="535" w:name="_Toc10791"/>
      <w:bookmarkStart w:id="536" w:name="_Toc8465"/>
      <w:bookmarkStart w:id="537" w:name="_Toc13786"/>
      <w:bookmarkStart w:id="538" w:name="_Toc414"/>
      <w:bookmarkStart w:id="539" w:name="_Toc29262"/>
      <w:bookmarkStart w:id="540" w:name="_Toc7723"/>
      <w:bookmarkStart w:id="541" w:name="_Toc24344"/>
      <w:bookmarkStart w:id="542" w:name="_Toc13551"/>
      <w:bookmarkStart w:id="543" w:name="_Toc3697"/>
      <w:bookmarkStart w:id="544" w:name="_Toc4682"/>
      <w:bookmarkStart w:id="545" w:name="_Toc12793"/>
      <w:bookmarkStart w:id="546" w:name="_Toc25979"/>
      <w:bookmarkStart w:id="547" w:name="_Toc16066"/>
      <w:bookmarkStart w:id="548" w:name="_Toc2661"/>
      <w:bookmarkStart w:id="549" w:name="_Toc27811"/>
      <w:bookmarkStart w:id="550" w:name="_Toc2564"/>
      <w:bookmarkStart w:id="551" w:name="_Toc7036"/>
      <w:bookmarkStart w:id="552" w:name="_Toc17832"/>
      <w:bookmarkStart w:id="553" w:name="_Toc19735"/>
      <w:bookmarkStart w:id="554" w:name="_Toc23493"/>
      <w:bookmarkStart w:id="555" w:name="_Toc25505"/>
      <w:bookmarkStart w:id="556" w:name="_Toc4952"/>
      <w:r>
        <w:rPr>
          <w:rFonts w:hint="eastAsia" w:ascii="仿宋" w:hAnsi="仿宋" w:eastAsia="仿宋" w:cs="仿宋"/>
          <w:b/>
          <w:bCs/>
          <w:highlight w:val="yellow"/>
        </w:rPr>
        <w:t>1技术及培训服务</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rPr>
        <w:t>1</w:t>
      </w:r>
      <w:r>
        <w:rPr>
          <w:rFonts w:hint="eastAsia" w:ascii="仿宋" w:hAnsi="仿宋" w:eastAsia="仿宋" w:cs="仿宋"/>
        </w:rPr>
        <w:t>名工程技术人员、维修人员和操作人员提供不少于3个日历日的免费的、生产制造现场的理论、技术和操作、维修、安全等方面的指导和培训。</w:t>
      </w:r>
      <w:r>
        <w:rPr>
          <w:rFonts w:ascii="仿宋" w:hAnsi="仿宋" w:eastAsia="仿宋" w:cs="仿宋"/>
        </w:rPr>
        <w:t xml:space="preserve"> </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pPr>
        <w:snapToGrid w:val="0"/>
        <w:spacing w:line="360" w:lineRule="auto"/>
        <w:ind w:left="480"/>
        <w:outlineLvl w:val="1"/>
        <w:rPr>
          <w:rFonts w:ascii="仿宋" w:hAnsi="仿宋" w:eastAsia="仿宋" w:cs="仿宋"/>
          <w:b/>
          <w:bCs/>
        </w:rPr>
      </w:pPr>
      <w:bookmarkStart w:id="557" w:name="_Toc32690"/>
      <w:bookmarkStart w:id="558" w:name="_Toc1420"/>
      <w:bookmarkStart w:id="559" w:name="_Toc25721"/>
      <w:bookmarkStart w:id="560" w:name="_Toc16259"/>
      <w:bookmarkStart w:id="561" w:name="_Toc10782"/>
      <w:bookmarkStart w:id="562" w:name="_Toc13235"/>
      <w:bookmarkStart w:id="563" w:name="_Toc19866"/>
      <w:bookmarkStart w:id="564" w:name="_Toc2300"/>
      <w:bookmarkStart w:id="565" w:name="_Toc25347"/>
      <w:bookmarkStart w:id="566" w:name="_Toc22719"/>
      <w:bookmarkStart w:id="567" w:name="_Toc9824"/>
      <w:bookmarkStart w:id="568" w:name="_Toc29981"/>
      <w:bookmarkStart w:id="569" w:name="_Toc13970"/>
      <w:bookmarkStart w:id="570" w:name="_Toc3042"/>
      <w:bookmarkStart w:id="571" w:name="_Toc13864"/>
      <w:bookmarkStart w:id="572" w:name="_Toc17849"/>
      <w:bookmarkStart w:id="573" w:name="_Toc21693"/>
      <w:bookmarkStart w:id="574" w:name="_Toc1176"/>
      <w:bookmarkStart w:id="575" w:name="_Toc15460"/>
      <w:bookmarkStart w:id="576" w:name="_Toc5703"/>
      <w:bookmarkStart w:id="577" w:name="_Toc3892"/>
      <w:bookmarkStart w:id="578" w:name="_Toc16493"/>
      <w:bookmarkStart w:id="579" w:name="_Toc22693"/>
      <w:bookmarkStart w:id="580" w:name="_Toc6394"/>
      <w:bookmarkStart w:id="581" w:name="_Toc16207"/>
      <w:bookmarkStart w:id="582" w:name="_Toc15028"/>
      <w:bookmarkStart w:id="583" w:name="_Toc17865"/>
      <w:bookmarkStart w:id="584" w:name="_Toc3976"/>
      <w:bookmarkStart w:id="585" w:name="_Toc16867"/>
      <w:bookmarkStart w:id="586" w:name="_Toc26880"/>
      <w:bookmarkStart w:id="587" w:name="_Toc14504"/>
      <w:bookmarkStart w:id="588" w:name="_Toc29413"/>
      <w:bookmarkStart w:id="589" w:name="_Toc17516"/>
      <w:bookmarkStart w:id="590" w:name="_Toc11516"/>
      <w:bookmarkStart w:id="591" w:name="_Toc22880"/>
      <w:bookmarkStart w:id="592" w:name="_Toc19800"/>
      <w:bookmarkStart w:id="593" w:name="_Toc31039"/>
      <w:bookmarkStart w:id="594" w:name="_Toc3907"/>
      <w:bookmarkStart w:id="595" w:name="_Toc30271"/>
      <w:bookmarkStart w:id="596" w:name="_Toc11060"/>
      <w:bookmarkStart w:id="597" w:name="_Toc26430"/>
      <w:r>
        <w:rPr>
          <w:rFonts w:hint="eastAsia" w:ascii="仿宋" w:hAnsi="仿宋" w:eastAsia="仿宋" w:cs="仿宋"/>
          <w:b/>
          <w:bCs/>
        </w:rPr>
        <w:t>2安装调试服务</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rPr>
      </w:pPr>
      <w:bookmarkStart w:id="598" w:name="_Toc7783"/>
      <w:bookmarkStart w:id="599" w:name="_Toc2510"/>
      <w:bookmarkStart w:id="600" w:name="_Toc218"/>
      <w:bookmarkStart w:id="601" w:name="_Toc16373"/>
      <w:bookmarkStart w:id="602" w:name="_Toc13443"/>
      <w:bookmarkStart w:id="603" w:name="_Toc4076"/>
      <w:bookmarkStart w:id="604" w:name="_Toc19810"/>
      <w:bookmarkStart w:id="605" w:name="_Toc30193"/>
      <w:bookmarkStart w:id="606" w:name="_Toc22871"/>
      <w:bookmarkStart w:id="607" w:name="_Toc11229"/>
      <w:bookmarkStart w:id="608" w:name="_Toc13921"/>
      <w:bookmarkStart w:id="609" w:name="_Toc9878"/>
      <w:bookmarkStart w:id="610" w:name="_Toc1585"/>
      <w:bookmarkStart w:id="611" w:name="_Toc3170"/>
      <w:bookmarkStart w:id="612" w:name="_Toc16337"/>
      <w:bookmarkStart w:id="613" w:name="_Toc16706"/>
      <w:bookmarkStart w:id="614" w:name="_Toc29245"/>
      <w:bookmarkStart w:id="615" w:name="_Toc32488"/>
      <w:bookmarkStart w:id="616" w:name="_Toc10635"/>
      <w:bookmarkStart w:id="617" w:name="_Toc9269"/>
      <w:bookmarkStart w:id="618" w:name="_Toc25079"/>
      <w:bookmarkStart w:id="619" w:name="_Toc2097"/>
      <w:bookmarkStart w:id="620" w:name="_Toc29126"/>
      <w:bookmarkStart w:id="621" w:name="_Toc628"/>
      <w:bookmarkStart w:id="622" w:name="_Toc17427"/>
      <w:bookmarkStart w:id="623" w:name="_Toc16435"/>
      <w:bookmarkStart w:id="624" w:name="_Toc29125"/>
      <w:bookmarkStart w:id="625" w:name="_Toc4751"/>
      <w:bookmarkStart w:id="626" w:name="_Toc17284"/>
      <w:bookmarkStart w:id="627" w:name="_Toc7956"/>
      <w:bookmarkStart w:id="628" w:name="_Toc1565"/>
      <w:bookmarkStart w:id="629" w:name="_Toc12739"/>
      <w:bookmarkStart w:id="630" w:name="_Toc8975"/>
      <w:bookmarkStart w:id="631" w:name="_Toc16916"/>
      <w:bookmarkStart w:id="632" w:name="_Toc32442"/>
      <w:bookmarkStart w:id="633" w:name="_Toc24615"/>
      <w:bookmarkStart w:id="634" w:name="_Toc8632"/>
      <w:bookmarkStart w:id="635" w:name="_Toc18269"/>
      <w:bookmarkStart w:id="636" w:name="_Toc9329"/>
      <w:bookmarkStart w:id="637" w:name="_Toc19674"/>
      <w:bookmarkStart w:id="638" w:name="_Toc2657"/>
      <w:bookmarkStart w:id="639" w:name="_Toc30398"/>
      <w:r>
        <w:rPr>
          <w:rFonts w:hint="eastAsia" w:ascii="仿宋" w:hAnsi="仿宋" w:eastAsia="仿宋" w:cs="仿宋"/>
          <w:b/>
          <w:bCs/>
        </w:rPr>
        <w:t>3验收服务</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3.1投标方在招标方现场进行的货物的预验收和终验收配合或指导，应当是免费的。</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pPr>
        <w:snapToGrid w:val="0"/>
        <w:spacing w:line="360" w:lineRule="auto"/>
        <w:ind w:firstLine="420" w:firstLineChars="200"/>
        <w:rPr>
          <w:rFonts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pPr>
        <w:snapToGrid w:val="0"/>
        <w:spacing w:line="360" w:lineRule="auto"/>
        <w:ind w:left="480"/>
        <w:outlineLvl w:val="1"/>
        <w:rPr>
          <w:rFonts w:ascii="仿宋" w:hAnsi="仿宋" w:eastAsia="仿宋" w:cs="仿宋"/>
          <w:b/>
          <w:bCs/>
        </w:rPr>
      </w:pPr>
      <w:bookmarkStart w:id="640" w:name="_Toc1454"/>
      <w:bookmarkStart w:id="641" w:name="_Toc7478"/>
      <w:bookmarkStart w:id="642" w:name="_Toc22965"/>
      <w:bookmarkStart w:id="643" w:name="_Toc4417"/>
      <w:bookmarkStart w:id="644" w:name="_Toc32079"/>
      <w:bookmarkStart w:id="645" w:name="_Toc17056"/>
      <w:bookmarkStart w:id="646" w:name="_Toc10808"/>
      <w:bookmarkStart w:id="647" w:name="_Toc19397"/>
      <w:bookmarkStart w:id="648" w:name="_Toc32682"/>
      <w:bookmarkStart w:id="649" w:name="_Toc6232"/>
      <w:bookmarkStart w:id="650" w:name="_Toc14739"/>
      <w:bookmarkStart w:id="651" w:name="_Toc30412"/>
      <w:bookmarkStart w:id="652" w:name="_Toc20916"/>
      <w:bookmarkStart w:id="653" w:name="_Toc29300"/>
      <w:bookmarkStart w:id="654" w:name="_Toc1311"/>
      <w:bookmarkStart w:id="655" w:name="_Toc7782"/>
      <w:bookmarkStart w:id="656" w:name="_Toc26554"/>
      <w:bookmarkStart w:id="657" w:name="_Toc28635"/>
      <w:bookmarkStart w:id="658" w:name="_Toc542"/>
      <w:bookmarkStart w:id="659" w:name="_Toc9592"/>
      <w:bookmarkStart w:id="660" w:name="_Toc29633"/>
      <w:bookmarkStart w:id="661" w:name="_Toc8078"/>
      <w:bookmarkStart w:id="662" w:name="_Toc10014"/>
      <w:bookmarkStart w:id="663" w:name="_Toc20538"/>
      <w:bookmarkStart w:id="664" w:name="_Toc20426"/>
      <w:bookmarkStart w:id="665" w:name="_Toc11699"/>
      <w:bookmarkStart w:id="666" w:name="_Toc26773"/>
      <w:bookmarkStart w:id="667" w:name="_Toc2093"/>
      <w:bookmarkStart w:id="668" w:name="_Toc6099"/>
      <w:bookmarkStart w:id="669" w:name="_Toc22392"/>
      <w:bookmarkStart w:id="670" w:name="_Toc18968"/>
      <w:bookmarkStart w:id="671" w:name="_Toc27224"/>
      <w:bookmarkStart w:id="672" w:name="_Toc17895"/>
      <w:bookmarkStart w:id="673" w:name="_Toc20717"/>
      <w:bookmarkStart w:id="674" w:name="_Toc1199"/>
      <w:bookmarkStart w:id="675" w:name="_Toc29778"/>
      <w:bookmarkStart w:id="676" w:name="_Toc19441"/>
      <w:bookmarkStart w:id="677" w:name="_Toc18836"/>
      <w:bookmarkStart w:id="678" w:name="_Toc20081"/>
      <w:bookmarkStart w:id="679" w:name="_Toc3798"/>
      <w:bookmarkStart w:id="680" w:name="_Toc11213"/>
      <w:bookmarkStart w:id="681" w:name="_Toc21987"/>
      <w:r>
        <w:rPr>
          <w:rFonts w:hint="eastAsia" w:ascii="仿宋" w:hAnsi="仿宋" w:eastAsia="仿宋" w:cs="仿宋"/>
          <w:b/>
          <w:bCs/>
        </w:rPr>
        <w:t>4售后服务</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 xml:space="preserve">4.2如发现所提供的货物存在问题，需要投标方解决或配合解决时：在质保期之内，应在接到通知后 </w:t>
      </w:r>
      <w:r>
        <w:rPr>
          <w:rFonts w:hint="eastAsia" w:ascii="仿宋" w:hAnsi="仿宋" w:eastAsia="仿宋" w:cs="仿宋"/>
          <w:u w:val="single"/>
        </w:rPr>
        <w:t xml:space="preserve"> 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ascii="仿宋" w:hAnsi="仿宋" w:eastAsia="仿宋" w:cs="仿宋"/>
          <w:b/>
          <w:bCs/>
        </w:rPr>
      </w:pPr>
      <w:bookmarkStart w:id="682" w:name="_Toc26623"/>
      <w:bookmarkStart w:id="683" w:name="_Toc30887"/>
      <w:bookmarkStart w:id="684" w:name="_Toc20327"/>
      <w:bookmarkStart w:id="685" w:name="_Toc13974"/>
      <w:bookmarkStart w:id="686" w:name="_Toc25242"/>
      <w:bookmarkStart w:id="687" w:name="_Toc9688"/>
      <w:bookmarkStart w:id="688" w:name="_Toc913"/>
      <w:bookmarkStart w:id="689" w:name="_Toc7130"/>
      <w:bookmarkStart w:id="690" w:name="_Toc21895"/>
      <w:bookmarkStart w:id="691" w:name="_Toc16849"/>
      <w:bookmarkStart w:id="692" w:name="_Toc3819"/>
      <w:bookmarkStart w:id="693" w:name="_Toc9982"/>
      <w:bookmarkStart w:id="694" w:name="_Toc6730"/>
      <w:bookmarkStart w:id="695" w:name="_Toc1573"/>
      <w:bookmarkStart w:id="696" w:name="_Toc27285"/>
      <w:bookmarkStart w:id="697" w:name="_Toc27733"/>
      <w:bookmarkStart w:id="698" w:name="_Toc4793"/>
      <w:bookmarkStart w:id="699" w:name="_Toc27505"/>
      <w:bookmarkStart w:id="700" w:name="_Toc20936"/>
      <w:bookmarkStart w:id="701" w:name="_Toc31498"/>
      <w:bookmarkStart w:id="702" w:name="_Toc32502"/>
      <w:bookmarkStart w:id="703" w:name="_Toc25994"/>
      <w:bookmarkStart w:id="704" w:name="_Toc30999"/>
      <w:bookmarkStart w:id="705" w:name="_Toc26976"/>
      <w:bookmarkStart w:id="706" w:name="_Toc18148"/>
      <w:bookmarkStart w:id="707" w:name="_Toc22732"/>
      <w:bookmarkStart w:id="708" w:name="_Toc28927"/>
      <w:bookmarkStart w:id="709" w:name="_Toc6984"/>
      <w:bookmarkStart w:id="710" w:name="_Toc6354"/>
      <w:bookmarkStart w:id="711" w:name="_Toc6107"/>
      <w:bookmarkStart w:id="712" w:name="_Toc32366"/>
      <w:bookmarkStart w:id="713" w:name="_Toc1118"/>
      <w:bookmarkStart w:id="714" w:name="_Toc22593"/>
      <w:bookmarkStart w:id="715" w:name="_Toc10752"/>
      <w:bookmarkStart w:id="716" w:name="_Toc115"/>
      <w:bookmarkStart w:id="717" w:name="_Toc19301"/>
      <w:bookmarkStart w:id="718" w:name="_Toc25693"/>
      <w:bookmarkStart w:id="719" w:name="_Toc4928"/>
      <w:bookmarkStart w:id="720" w:name="_Toc14349"/>
      <w:bookmarkStart w:id="721" w:name="_Toc12294"/>
      <w:bookmarkStart w:id="722" w:name="_Toc17891"/>
      <w:bookmarkStart w:id="723" w:name="_Toc26287"/>
      <w:r>
        <w:rPr>
          <w:rFonts w:hint="eastAsia" w:ascii="仿宋" w:hAnsi="仿宋" w:eastAsia="仿宋" w:cs="仿宋"/>
          <w:b/>
          <w:bCs/>
        </w:rPr>
        <w:t>5其它服务</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24" w:name="_Toc133783974"/>
    </w:p>
    <w:p>
      <w:pPr>
        <w:adjustRightInd w:val="0"/>
        <w:snapToGrid w:val="0"/>
        <w:spacing w:line="360" w:lineRule="auto"/>
        <w:ind w:firstLine="420" w:firstLineChars="200"/>
        <w:rPr>
          <w:rFonts w:ascii="仿宋" w:hAnsi="仿宋" w:eastAsia="仿宋" w:cs="仿宋"/>
          <w:lang w:val="en-GB"/>
        </w:rPr>
      </w:pPr>
      <w:bookmarkStart w:id="725" w:name="_Toc499550430"/>
      <w:r>
        <w:rPr>
          <w:rFonts w:hint="eastAsia" w:ascii="仿宋" w:hAnsi="仿宋" w:eastAsia="仿宋" w:cs="仿宋"/>
        </w:rPr>
        <w:t>5</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保障服务目标</w:t>
      </w:r>
      <w:bookmarkEnd w:id="72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pPr>
        <w:adjustRightInd w:val="0"/>
        <w:snapToGrid w:val="0"/>
        <w:spacing w:line="360" w:lineRule="auto"/>
        <w:ind w:firstLine="420" w:firstLineChars="200"/>
        <w:rPr>
          <w:rFonts w:ascii="仿宋" w:hAnsi="仿宋" w:eastAsia="仿宋" w:cs="仿宋"/>
          <w:lang w:val="en-GB"/>
        </w:rPr>
      </w:pPr>
      <w:r>
        <w:rPr>
          <w:rFonts w:hint="eastAsia" w:ascii="仿宋" w:hAnsi="仿宋" w:eastAsia="仿宋" w:cs="仿宋"/>
        </w:rPr>
        <w:t>5.4</w:t>
      </w:r>
      <w:r>
        <w:rPr>
          <w:rFonts w:hint="eastAsia" w:ascii="仿宋" w:hAnsi="仿宋" w:eastAsia="仿宋" w:cs="仿宋"/>
          <w:lang w:val="en-GB"/>
        </w:rPr>
        <w:t>增值服务目标</w:t>
      </w:r>
    </w:p>
    <w:p>
      <w:pPr>
        <w:adjustRightInd w:val="0"/>
        <w:snapToGrid w:val="0"/>
        <w:spacing w:line="360" w:lineRule="auto"/>
        <w:ind w:firstLine="420" w:firstLineChars="200"/>
      </w:pPr>
      <w:r>
        <w:rPr>
          <w:rFonts w:hint="eastAsia" w:ascii="仿宋" w:hAnsi="仿宋" w:eastAsia="仿宋" w:cs="仿宋"/>
          <w:lang w:val="en-GB"/>
        </w:rPr>
        <w:t>（1）提供一年的系统7×24维护</w:t>
      </w:r>
    </w:p>
    <w:p>
      <w:pPr>
        <w:adjustRightInd w:val="0"/>
        <w:snapToGrid w:val="0"/>
        <w:spacing w:before="163" w:beforeLines="50" w:after="163" w:afterLines="50" w:line="360" w:lineRule="auto"/>
        <w:jc w:val="center"/>
        <w:outlineLvl w:val="0"/>
        <w:rPr>
          <w:rFonts w:ascii="仿宋" w:hAnsi="仿宋" w:eastAsia="仿宋" w:cs="仿宋"/>
          <w:b/>
          <w:bCs/>
        </w:rPr>
      </w:pPr>
      <w:bookmarkStart w:id="726" w:name="_Toc10873"/>
      <w:bookmarkStart w:id="727" w:name="_Toc21122"/>
      <w:bookmarkStart w:id="728" w:name="_Toc4011"/>
      <w:bookmarkStart w:id="729" w:name="_Toc29269"/>
      <w:bookmarkStart w:id="730" w:name="_Toc19942"/>
      <w:bookmarkStart w:id="731" w:name="_Toc10438"/>
      <w:bookmarkStart w:id="732" w:name="_Toc23730"/>
      <w:bookmarkStart w:id="733" w:name="_Toc14411"/>
      <w:bookmarkStart w:id="734" w:name="_Toc9121"/>
      <w:bookmarkStart w:id="735" w:name="_Toc9482"/>
      <w:bookmarkStart w:id="736" w:name="_Toc19208"/>
      <w:bookmarkStart w:id="737" w:name="_Toc13250"/>
      <w:bookmarkStart w:id="738" w:name="_Toc24752"/>
      <w:bookmarkStart w:id="739" w:name="_Toc9498"/>
      <w:bookmarkStart w:id="740" w:name="_Toc6228"/>
      <w:bookmarkStart w:id="741" w:name="_Toc25057"/>
      <w:bookmarkStart w:id="742" w:name="_Toc16312"/>
      <w:bookmarkStart w:id="743" w:name="_Toc18621"/>
      <w:bookmarkStart w:id="744" w:name="_Toc8076"/>
      <w:bookmarkStart w:id="745" w:name="_Toc7461"/>
      <w:bookmarkStart w:id="746" w:name="_Toc22725"/>
      <w:bookmarkStart w:id="747" w:name="_Toc8547"/>
      <w:bookmarkStart w:id="748" w:name="_Toc26489"/>
      <w:bookmarkStart w:id="749" w:name="_Toc15356"/>
      <w:bookmarkStart w:id="750" w:name="_Toc10492"/>
      <w:bookmarkStart w:id="751" w:name="_Toc18030"/>
      <w:bookmarkStart w:id="752" w:name="_Toc2800"/>
      <w:bookmarkStart w:id="753" w:name="_Toc25825"/>
      <w:bookmarkStart w:id="754" w:name="_Toc19017"/>
      <w:bookmarkStart w:id="755" w:name="_Toc29777"/>
      <w:bookmarkStart w:id="756" w:name="_Toc13895"/>
      <w:bookmarkStart w:id="757" w:name="_Toc27484"/>
      <w:bookmarkStart w:id="758" w:name="_Toc5013"/>
      <w:bookmarkStart w:id="759" w:name="_Toc29817"/>
      <w:bookmarkStart w:id="760" w:name="_Toc5996"/>
      <w:bookmarkStart w:id="761" w:name="_Toc30293"/>
      <w:bookmarkStart w:id="762" w:name="_Toc32409"/>
      <w:bookmarkStart w:id="763" w:name="_Toc12013"/>
      <w:bookmarkStart w:id="764" w:name="_Toc12454"/>
      <w:bookmarkStart w:id="765" w:name="_Toc32483"/>
      <w:bookmarkStart w:id="766" w:name="_Toc16355"/>
      <w:bookmarkStart w:id="767" w:name="_Toc11150"/>
      <w:bookmarkStart w:id="768" w:name="_Toc2140"/>
      <w:r>
        <w:rPr>
          <w:rFonts w:hint="eastAsia" w:ascii="仿宋" w:hAnsi="仿宋" w:eastAsia="仿宋" w:cs="仿宋"/>
          <w:b/>
          <w:bCs/>
        </w:rPr>
        <w:t>第五章预验收和终验收</w:t>
      </w:r>
      <w:bookmarkEnd w:id="724"/>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snapToGrid w:val="0"/>
        <w:spacing w:line="360" w:lineRule="auto"/>
        <w:ind w:left="482"/>
        <w:outlineLvl w:val="1"/>
        <w:rPr>
          <w:rFonts w:ascii="仿宋" w:hAnsi="仿宋" w:eastAsia="仿宋" w:cs="仿宋"/>
          <w:b/>
          <w:bCs/>
        </w:rPr>
      </w:pPr>
      <w:bookmarkStart w:id="769" w:name="_Toc17620"/>
      <w:bookmarkStart w:id="770" w:name="_Toc22207"/>
      <w:bookmarkStart w:id="771" w:name="_Toc29964"/>
      <w:bookmarkStart w:id="772" w:name="_Toc29611"/>
      <w:bookmarkStart w:id="773" w:name="_Toc4070"/>
      <w:bookmarkStart w:id="774" w:name="_Toc22981"/>
      <w:bookmarkStart w:id="775" w:name="_Toc24517"/>
      <w:bookmarkStart w:id="776" w:name="_Toc23231"/>
      <w:bookmarkStart w:id="777" w:name="_Toc10033"/>
      <w:bookmarkStart w:id="778" w:name="_Toc1286"/>
      <w:bookmarkStart w:id="779" w:name="_Toc6924"/>
      <w:bookmarkStart w:id="780" w:name="_Toc3676"/>
      <w:bookmarkStart w:id="781" w:name="_Toc242"/>
      <w:bookmarkStart w:id="782" w:name="_Toc27448"/>
      <w:bookmarkStart w:id="783" w:name="_Toc9902"/>
      <w:bookmarkStart w:id="784" w:name="_Toc13718"/>
      <w:bookmarkStart w:id="785" w:name="_Toc20512"/>
      <w:bookmarkStart w:id="786" w:name="_Toc28506"/>
      <w:bookmarkStart w:id="787" w:name="_Toc12239"/>
      <w:bookmarkStart w:id="788" w:name="_Toc2326"/>
      <w:bookmarkStart w:id="789" w:name="_Toc7184"/>
      <w:bookmarkStart w:id="790" w:name="_Toc25574"/>
      <w:bookmarkStart w:id="791" w:name="_Toc15025"/>
      <w:bookmarkStart w:id="792" w:name="_Toc27225"/>
      <w:bookmarkStart w:id="793" w:name="_Toc23191"/>
      <w:bookmarkStart w:id="794" w:name="_Toc12676"/>
      <w:bookmarkStart w:id="795" w:name="_Toc24809"/>
      <w:bookmarkStart w:id="796" w:name="_Toc22140"/>
      <w:bookmarkStart w:id="797" w:name="_Toc5401"/>
      <w:bookmarkStart w:id="798" w:name="_Toc31478"/>
      <w:bookmarkStart w:id="799" w:name="_Toc21557"/>
      <w:bookmarkStart w:id="800" w:name="_Toc6378"/>
      <w:bookmarkStart w:id="801" w:name="_Toc29287"/>
      <w:bookmarkStart w:id="802" w:name="_Toc14541"/>
      <w:bookmarkStart w:id="803" w:name="_Toc21206"/>
      <w:bookmarkStart w:id="804" w:name="_Toc14965"/>
      <w:bookmarkStart w:id="805" w:name="_Toc27951"/>
      <w:bookmarkStart w:id="806" w:name="_Toc28073"/>
      <w:bookmarkStart w:id="807" w:name="_Toc11331"/>
      <w:bookmarkStart w:id="808" w:name="_Toc29608"/>
      <w:bookmarkStart w:id="809" w:name="_Toc7463"/>
      <w:bookmarkStart w:id="810" w:name="_Toc7191"/>
      <w:r>
        <w:rPr>
          <w:rFonts w:hint="eastAsia" w:ascii="仿宋" w:hAnsi="仿宋" w:eastAsia="仿宋" w:cs="仿宋"/>
          <w:b/>
          <w:bCs/>
        </w:rPr>
        <w:t>1验收的一般约定</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rPr>
      </w:pPr>
      <w:bookmarkStart w:id="811" w:name="_Toc8742"/>
      <w:bookmarkStart w:id="812" w:name="_Toc13173"/>
      <w:bookmarkStart w:id="813" w:name="_Toc22558"/>
      <w:bookmarkStart w:id="814" w:name="_Toc7863"/>
      <w:bookmarkStart w:id="815" w:name="_Toc21568"/>
      <w:bookmarkStart w:id="816" w:name="_Toc21722"/>
      <w:bookmarkStart w:id="817" w:name="_Toc27467"/>
      <w:bookmarkStart w:id="818" w:name="_Toc27120"/>
      <w:bookmarkStart w:id="819" w:name="_Toc19505"/>
      <w:bookmarkStart w:id="820" w:name="_Toc7457"/>
      <w:bookmarkStart w:id="821" w:name="_Toc6206"/>
      <w:bookmarkStart w:id="822" w:name="_Toc28925"/>
      <w:bookmarkStart w:id="823" w:name="_Toc20876"/>
      <w:bookmarkStart w:id="824" w:name="_Toc10568"/>
      <w:bookmarkStart w:id="825" w:name="_Toc13736"/>
      <w:bookmarkStart w:id="826" w:name="_Toc29669"/>
      <w:bookmarkStart w:id="827" w:name="_Toc15379"/>
      <w:bookmarkStart w:id="828" w:name="_Toc25951"/>
      <w:bookmarkStart w:id="829" w:name="_Toc9729"/>
      <w:bookmarkStart w:id="830" w:name="_Toc22158"/>
      <w:bookmarkStart w:id="831" w:name="_Toc21414"/>
      <w:bookmarkStart w:id="832" w:name="_Toc8093"/>
      <w:bookmarkStart w:id="833" w:name="_Toc32581"/>
      <w:bookmarkStart w:id="834" w:name="_Toc23133"/>
      <w:bookmarkStart w:id="835" w:name="_Toc16943"/>
      <w:bookmarkStart w:id="836" w:name="_Toc17335"/>
      <w:bookmarkStart w:id="837" w:name="_Toc17720"/>
      <w:bookmarkStart w:id="838" w:name="_Toc28873"/>
      <w:bookmarkStart w:id="839" w:name="_Toc2310"/>
      <w:bookmarkStart w:id="840" w:name="_Toc8338"/>
      <w:bookmarkStart w:id="841" w:name="_Toc1187"/>
      <w:bookmarkStart w:id="842" w:name="_Toc6471"/>
      <w:bookmarkStart w:id="843" w:name="_Toc30274"/>
      <w:bookmarkStart w:id="844" w:name="_Toc513"/>
      <w:bookmarkStart w:id="845" w:name="_Toc11335"/>
      <w:bookmarkStart w:id="846" w:name="_Toc10200"/>
      <w:bookmarkStart w:id="847" w:name="_Toc1155"/>
      <w:bookmarkStart w:id="848" w:name="_Toc31116"/>
      <w:bookmarkStart w:id="849" w:name="_Toc18517"/>
      <w:bookmarkStart w:id="850" w:name="_Toc8916"/>
      <w:bookmarkStart w:id="851" w:name="_Toc11248"/>
      <w:bookmarkStart w:id="852" w:name="_Toc23919"/>
      <w:r>
        <w:rPr>
          <w:rFonts w:hint="eastAsia" w:ascii="仿宋" w:hAnsi="仿宋" w:eastAsia="仿宋" w:cs="仿宋"/>
          <w:b/>
          <w:bCs/>
        </w:rPr>
        <w:t>2检验</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ascii="仿宋" w:hAnsi="仿宋" w:eastAsia="仿宋" w:cs="仿宋"/>
          <w:b/>
          <w:bCs/>
        </w:rPr>
      </w:pPr>
      <w:bookmarkStart w:id="853" w:name="_Toc8664"/>
      <w:bookmarkStart w:id="854" w:name="_Toc27310"/>
      <w:bookmarkStart w:id="855" w:name="_Toc28225"/>
      <w:bookmarkStart w:id="856" w:name="_Toc21487"/>
      <w:bookmarkStart w:id="857" w:name="_Toc14587"/>
      <w:bookmarkStart w:id="858" w:name="_Toc6506"/>
      <w:bookmarkStart w:id="859" w:name="_Toc16878"/>
      <w:bookmarkStart w:id="860" w:name="_Toc30797"/>
      <w:bookmarkStart w:id="861" w:name="_Toc8214"/>
      <w:bookmarkStart w:id="862" w:name="_Toc99"/>
      <w:bookmarkStart w:id="863" w:name="_Toc10879"/>
      <w:bookmarkStart w:id="864" w:name="_Toc17499"/>
      <w:bookmarkStart w:id="865" w:name="_Toc1461"/>
      <w:bookmarkStart w:id="866" w:name="_Toc25654"/>
      <w:bookmarkStart w:id="867" w:name="_Toc5653"/>
      <w:bookmarkStart w:id="868" w:name="_Toc14993"/>
      <w:bookmarkStart w:id="869" w:name="_Toc27629"/>
      <w:bookmarkStart w:id="870" w:name="_Toc11780"/>
      <w:bookmarkStart w:id="871" w:name="_Toc32111"/>
      <w:bookmarkStart w:id="872" w:name="_Toc18036"/>
      <w:bookmarkStart w:id="873" w:name="_Toc27594"/>
      <w:bookmarkStart w:id="874" w:name="_Toc14904"/>
      <w:bookmarkStart w:id="875" w:name="_Toc16665"/>
      <w:bookmarkStart w:id="876" w:name="_Toc228"/>
      <w:bookmarkStart w:id="877" w:name="_Toc31780"/>
      <w:bookmarkStart w:id="878" w:name="_Toc14844"/>
      <w:bookmarkStart w:id="879" w:name="_Toc23250"/>
      <w:bookmarkStart w:id="880" w:name="_Toc1969"/>
      <w:bookmarkStart w:id="881" w:name="_Toc27538"/>
      <w:bookmarkStart w:id="882" w:name="_Toc11846"/>
      <w:bookmarkStart w:id="883" w:name="_Toc8477"/>
      <w:bookmarkStart w:id="884" w:name="_Toc27145"/>
      <w:bookmarkStart w:id="885" w:name="_Toc22379"/>
      <w:bookmarkStart w:id="886" w:name="_Toc1041"/>
      <w:bookmarkStart w:id="887" w:name="_Toc5604"/>
      <w:bookmarkStart w:id="888" w:name="_Toc19311"/>
      <w:bookmarkStart w:id="889" w:name="_Toc23252"/>
      <w:bookmarkStart w:id="890" w:name="_Toc15488"/>
      <w:bookmarkStart w:id="891" w:name="_Toc29497"/>
      <w:bookmarkStart w:id="892" w:name="_Toc8128"/>
      <w:bookmarkStart w:id="893" w:name="_Toc21757"/>
      <w:bookmarkStart w:id="894" w:name="_Toc18595"/>
      <w:r>
        <w:rPr>
          <w:rFonts w:hint="eastAsia" w:ascii="仿宋" w:hAnsi="仿宋" w:eastAsia="仿宋" w:cs="仿宋"/>
          <w:b/>
          <w:bCs/>
        </w:rPr>
        <w:t>3验收条件</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pPr>
        <w:adjustRightInd w:val="0"/>
        <w:snapToGrid w:val="0"/>
        <w:spacing w:line="360" w:lineRule="auto"/>
        <w:ind w:firstLine="420" w:firstLineChars="200"/>
        <w:rPr>
          <w:rFonts w:ascii="仿宋" w:hAnsi="仿宋" w:eastAsia="仿宋" w:cs="仿宋"/>
        </w:rPr>
      </w:pPr>
      <w:bookmarkStart w:id="895" w:name="_Toc4741"/>
      <w:bookmarkStart w:id="896" w:name="_Toc16622"/>
      <w:bookmarkStart w:id="897" w:name="_Toc18963"/>
      <w:bookmarkStart w:id="898" w:name="_Toc24814"/>
      <w:bookmarkStart w:id="899" w:name="_Toc27848"/>
      <w:bookmarkStart w:id="900" w:name="_Toc27856"/>
      <w:bookmarkStart w:id="901" w:name="_Toc23170"/>
      <w:bookmarkStart w:id="902" w:name="_Toc6731"/>
      <w:bookmarkStart w:id="903" w:name="_Toc31328"/>
      <w:bookmarkStart w:id="904" w:name="_Toc11902"/>
      <w:bookmarkStart w:id="905" w:name="_Toc18903"/>
      <w:bookmarkStart w:id="906" w:name="_Toc10389"/>
      <w:bookmarkStart w:id="907" w:name="_Toc362"/>
      <w:bookmarkStart w:id="908" w:name="_Toc18487"/>
      <w:bookmarkStart w:id="909" w:name="_Toc30563"/>
      <w:bookmarkStart w:id="910" w:name="_Toc21811"/>
      <w:bookmarkStart w:id="911" w:name="_Toc22247"/>
      <w:bookmarkStart w:id="912" w:name="_Toc24921"/>
      <w:bookmarkStart w:id="913" w:name="_Toc10052"/>
      <w:bookmarkStart w:id="914" w:name="_Toc31639"/>
      <w:bookmarkStart w:id="915" w:name="_Toc20504"/>
      <w:bookmarkStart w:id="916" w:name="_Toc3034"/>
      <w:bookmarkStart w:id="917" w:name="_Toc771"/>
      <w:bookmarkStart w:id="918" w:name="_Toc23548"/>
      <w:bookmarkStart w:id="919" w:name="_Toc4157"/>
      <w:bookmarkStart w:id="920" w:name="_Toc32498"/>
      <w:bookmarkStart w:id="921" w:name="_Toc7303"/>
      <w:bookmarkStart w:id="922" w:name="_Toc10586"/>
      <w:bookmarkStart w:id="923" w:name="_Toc11412"/>
      <w:bookmarkStart w:id="924" w:name="_Toc16974"/>
      <w:bookmarkStart w:id="925" w:name="_Toc9015"/>
      <w:bookmarkStart w:id="926" w:name="_Toc11234"/>
      <w:bookmarkStart w:id="927" w:name="_Toc20087"/>
      <w:bookmarkStart w:id="928" w:name="_Toc17709"/>
      <w:bookmarkStart w:id="929" w:name="_Toc6977"/>
      <w:bookmarkStart w:id="930" w:name="_Toc25547"/>
      <w:bookmarkStart w:id="931" w:name="_Toc5473"/>
      <w:bookmarkStart w:id="932" w:name="_Toc1849"/>
      <w:bookmarkStart w:id="933" w:name="_Toc24377"/>
      <w:bookmarkStart w:id="934" w:name="_Toc19344"/>
      <w:bookmarkStart w:id="935" w:name="_Toc5952"/>
      <w:r>
        <w:rPr>
          <w:rFonts w:hint="eastAsia" w:ascii="仿宋" w:hAnsi="仿宋" w:eastAsia="仿宋" w:cs="仿宋"/>
        </w:rPr>
        <w:t>3.1预验收一般条件</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rPr>
      </w:pPr>
      <w:bookmarkStart w:id="936" w:name="_Toc17523"/>
      <w:bookmarkStart w:id="937" w:name="_Toc26496"/>
      <w:bookmarkStart w:id="938" w:name="_Toc3329"/>
      <w:bookmarkStart w:id="939" w:name="_Toc12987"/>
      <w:bookmarkStart w:id="940" w:name="_Toc29661"/>
      <w:bookmarkStart w:id="941" w:name="_Toc4066"/>
      <w:bookmarkStart w:id="942" w:name="_Toc16821"/>
      <w:bookmarkStart w:id="943" w:name="_Toc17924"/>
      <w:bookmarkStart w:id="944" w:name="_Toc8938"/>
      <w:bookmarkStart w:id="945" w:name="_Toc12439"/>
      <w:bookmarkStart w:id="946" w:name="_Toc4108"/>
      <w:bookmarkStart w:id="947" w:name="_Toc8320"/>
      <w:bookmarkStart w:id="948" w:name="_Toc30498"/>
      <w:bookmarkStart w:id="949" w:name="_Toc22891"/>
      <w:bookmarkStart w:id="950" w:name="_Toc20374"/>
      <w:bookmarkStart w:id="951" w:name="_Toc23596"/>
      <w:bookmarkStart w:id="952" w:name="_Toc931"/>
      <w:bookmarkStart w:id="953" w:name="_Toc4643"/>
      <w:bookmarkStart w:id="954" w:name="_Toc9105"/>
      <w:bookmarkStart w:id="955" w:name="_Toc28390"/>
      <w:bookmarkStart w:id="956" w:name="_Toc29327"/>
      <w:bookmarkStart w:id="957" w:name="_Toc1293"/>
      <w:bookmarkStart w:id="958" w:name="_Toc2362"/>
      <w:bookmarkStart w:id="959" w:name="_Toc27491"/>
      <w:bookmarkStart w:id="960" w:name="_Toc24950"/>
      <w:bookmarkStart w:id="961" w:name="_Toc15751"/>
      <w:bookmarkStart w:id="962" w:name="_Toc24874"/>
      <w:bookmarkStart w:id="963" w:name="_Toc2134"/>
      <w:bookmarkStart w:id="964" w:name="_Toc14552"/>
      <w:bookmarkStart w:id="965" w:name="_Toc19728"/>
      <w:bookmarkStart w:id="966" w:name="_Toc21629"/>
      <w:bookmarkStart w:id="967" w:name="_Toc18823"/>
      <w:bookmarkStart w:id="968" w:name="_Toc8879"/>
      <w:bookmarkStart w:id="969" w:name="_Toc11537"/>
      <w:bookmarkStart w:id="970" w:name="_Toc5422"/>
      <w:bookmarkStart w:id="971" w:name="_Toc6062"/>
      <w:bookmarkStart w:id="972" w:name="_Toc17491"/>
      <w:bookmarkStart w:id="973" w:name="_Toc19887"/>
      <w:bookmarkStart w:id="974" w:name="_Toc21953"/>
      <w:bookmarkStart w:id="975" w:name="_Toc7060"/>
      <w:bookmarkStart w:id="976" w:name="_Toc21671"/>
      <w:r>
        <w:rPr>
          <w:rFonts w:hint="eastAsia" w:ascii="仿宋" w:hAnsi="仿宋" w:eastAsia="仿宋" w:cs="仿宋"/>
        </w:rPr>
        <w:t>3.2终验收一般条件</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pPr>
        <w:snapToGrid w:val="0"/>
        <w:spacing w:line="360" w:lineRule="auto"/>
        <w:ind w:left="482"/>
        <w:outlineLvl w:val="1"/>
        <w:rPr>
          <w:rFonts w:ascii="仿宋" w:hAnsi="仿宋" w:eastAsia="仿宋" w:cs="仿宋"/>
          <w:b/>
          <w:bCs/>
        </w:rPr>
      </w:pPr>
      <w:bookmarkStart w:id="977" w:name="_Toc17223"/>
      <w:bookmarkStart w:id="978" w:name="_Toc1961"/>
      <w:bookmarkStart w:id="979" w:name="_Toc17549"/>
      <w:bookmarkStart w:id="980" w:name="_Toc1804"/>
      <w:bookmarkStart w:id="981" w:name="_Toc25411"/>
      <w:bookmarkStart w:id="982" w:name="_Toc10673"/>
      <w:bookmarkStart w:id="983" w:name="_Toc21504"/>
      <w:bookmarkStart w:id="984" w:name="_Toc6573"/>
      <w:bookmarkStart w:id="985" w:name="_Toc12859"/>
      <w:bookmarkStart w:id="986" w:name="_Toc26083"/>
      <w:bookmarkStart w:id="987" w:name="_Toc21291"/>
      <w:bookmarkStart w:id="988" w:name="_Toc20983"/>
      <w:bookmarkStart w:id="989" w:name="_Toc9027"/>
      <w:bookmarkStart w:id="990" w:name="_Toc22500"/>
      <w:bookmarkStart w:id="991" w:name="_Toc1761"/>
      <w:bookmarkStart w:id="992" w:name="_Toc11114"/>
      <w:bookmarkStart w:id="993" w:name="_Toc7243"/>
      <w:bookmarkStart w:id="994" w:name="_Toc1885"/>
      <w:bookmarkStart w:id="995" w:name="_Toc1469"/>
      <w:bookmarkStart w:id="996" w:name="_Toc32661"/>
      <w:bookmarkStart w:id="997" w:name="_Toc193"/>
      <w:r>
        <w:rPr>
          <w:rFonts w:hint="eastAsia" w:ascii="仿宋" w:hAnsi="仿宋" w:eastAsia="仿宋" w:cs="仿宋"/>
          <w:b/>
          <w:bCs/>
        </w:rPr>
        <w:t>4终验收基本要求</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4.1负荷运行时，货物应连续运行</w:t>
      </w:r>
      <w:r>
        <w:rPr>
          <w:rFonts w:hint="eastAsia" w:ascii="仿宋" w:hAnsi="仿宋" w:eastAsia="仿宋" w:cs="仿宋"/>
          <w:highlight w:val="yellow"/>
          <w:u w:val="single"/>
        </w:rPr>
        <w:t xml:space="preserve"> 60</w:t>
      </w:r>
      <w:r>
        <w:rPr>
          <w:rFonts w:hint="eastAsia" w:ascii="仿宋" w:hAnsi="仿宋" w:eastAsia="仿宋" w:cs="仿宋"/>
          <w:highlight w:val="yellow"/>
          <w:u w:val="single"/>
          <w:shd w:val="pct10" w:color="auto" w:fill="FFFFFF"/>
        </w:rPr>
        <w:t xml:space="preserve"> </w:t>
      </w:r>
      <w:r>
        <w:rPr>
          <w:rFonts w:hint="eastAsia" w:ascii="仿宋" w:hAnsi="仿宋" w:eastAsia="仿宋" w:cs="仿宋"/>
          <w:highlight w:val="yellow"/>
        </w:rPr>
        <w:t>天，每天连续</w:t>
      </w:r>
      <w:r>
        <w:rPr>
          <w:rFonts w:hint="eastAsia" w:ascii="仿宋" w:hAnsi="仿宋" w:eastAsia="仿宋" w:cs="仿宋"/>
          <w:highlight w:val="yellow"/>
          <w:u w:val="single"/>
        </w:rPr>
        <w:t xml:space="preserve"> </w:t>
      </w:r>
      <w:r>
        <w:rPr>
          <w:rFonts w:hint="eastAsia" w:ascii="仿宋" w:hAnsi="仿宋" w:eastAsia="仿宋" w:cs="仿宋"/>
          <w:highlight w:val="yellow"/>
          <w:u w:val="single"/>
          <w:shd w:val="pct10" w:color="auto" w:fill="FFFFFF"/>
        </w:rPr>
        <w:t>24</w:t>
      </w:r>
      <w:r>
        <w:rPr>
          <w:rFonts w:hint="eastAsia" w:ascii="仿宋" w:hAnsi="仿宋" w:eastAsia="仿宋" w:cs="仿宋"/>
          <w:highlight w:val="yellow"/>
        </w:rPr>
        <w:t>小时，除用户方面因素外，必须达到以下要求：</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4.2.1在整个验收过程中没有维修、更换零部件或元件行为；</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4.2.2所有出现的调整，每次调整时间均不超过</w:t>
      </w:r>
      <w:r>
        <w:rPr>
          <w:rFonts w:hint="eastAsia" w:ascii="仿宋" w:hAnsi="仿宋" w:eastAsia="仿宋" w:cs="仿宋"/>
          <w:highlight w:val="yellow"/>
          <w:u w:val="single"/>
          <w:shd w:val="pct10" w:color="auto" w:fill="FFFFFF"/>
        </w:rPr>
        <w:t>60</w:t>
      </w:r>
      <w:r>
        <w:rPr>
          <w:rFonts w:hint="eastAsia" w:ascii="仿宋" w:hAnsi="仿宋" w:eastAsia="仿宋" w:cs="仿宋"/>
          <w:highlight w:val="yellow"/>
        </w:rPr>
        <w:t>分钟；</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4.2.3所有调整时间的总和不超过总运行时间的</w:t>
      </w:r>
      <w:r>
        <w:rPr>
          <w:rFonts w:hint="eastAsia" w:ascii="仿宋" w:hAnsi="仿宋" w:eastAsia="仿宋" w:cs="仿宋"/>
          <w:highlight w:val="yellow"/>
          <w:u w:val="single"/>
          <w:shd w:val="pct10" w:color="auto" w:fill="FFFFFF"/>
        </w:rPr>
        <w:t>10</w:t>
      </w:r>
      <w:r>
        <w:rPr>
          <w:rFonts w:hint="eastAsia" w:ascii="仿宋" w:hAnsi="仿宋" w:eastAsia="仿宋" w:cs="仿宋"/>
          <w:highlight w:val="yellow"/>
        </w:rPr>
        <w:t>%；</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4.2.4累计运行实际性能（或生产率）达到合同规定；</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4.2.5终验收原则上要求一次完成。若一次验收不成功，最多允许两次；</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98" w:name="_Toc133783975"/>
    </w:p>
    <w:p>
      <w:pPr>
        <w:snapToGrid w:val="0"/>
        <w:spacing w:line="360" w:lineRule="auto"/>
        <w:ind w:left="482"/>
        <w:outlineLvl w:val="1"/>
        <w:rPr>
          <w:rFonts w:ascii="仿宋" w:hAnsi="仿宋" w:eastAsia="仿宋" w:cs="仿宋"/>
          <w:b/>
          <w:bCs/>
        </w:rPr>
      </w:pPr>
      <w:r>
        <w:rPr>
          <w:rFonts w:hint="eastAsia" w:ascii="仿宋" w:hAnsi="仿宋" w:eastAsia="仿宋" w:cs="仿宋"/>
          <w:b/>
          <w:bCs/>
        </w:rPr>
        <w:t>5验收资料</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pPr>
        <w:pStyle w:val="16"/>
      </w:pPr>
    </w:p>
    <w:p>
      <w:pPr>
        <w:adjustRightInd w:val="0"/>
        <w:snapToGrid w:val="0"/>
        <w:spacing w:before="163" w:beforeLines="50" w:after="163" w:afterLines="50" w:line="360" w:lineRule="auto"/>
        <w:jc w:val="center"/>
        <w:outlineLvl w:val="0"/>
        <w:rPr>
          <w:rFonts w:ascii="仿宋" w:hAnsi="仿宋" w:eastAsia="仿宋" w:cs="仿宋"/>
          <w:b/>
          <w:bCs/>
        </w:rPr>
      </w:pPr>
      <w:bookmarkStart w:id="999" w:name="_Toc1195"/>
      <w:bookmarkStart w:id="1000" w:name="_Toc23616"/>
      <w:bookmarkStart w:id="1001" w:name="_Toc30219"/>
      <w:bookmarkStart w:id="1002" w:name="_Toc25401"/>
      <w:bookmarkStart w:id="1003" w:name="_Toc14133"/>
      <w:bookmarkStart w:id="1004" w:name="_Toc30187"/>
      <w:bookmarkStart w:id="1005" w:name="_Toc25348"/>
      <w:bookmarkStart w:id="1006" w:name="_Toc32074"/>
      <w:bookmarkStart w:id="1007" w:name="_Toc17110"/>
      <w:bookmarkStart w:id="1008" w:name="_Toc27346"/>
      <w:bookmarkStart w:id="1009" w:name="_Toc8015"/>
      <w:bookmarkStart w:id="1010" w:name="_Toc23268"/>
      <w:bookmarkStart w:id="1011" w:name="_Toc15351"/>
      <w:bookmarkStart w:id="1012" w:name="_Toc1673"/>
      <w:bookmarkStart w:id="1013" w:name="_Toc15914"/>
      <w:bookmarkStart w:id="1014" w:name="_Toc18510"/>
      <w:bookmarkStart w:id="1015" w:name="_Toc6807"/>
      <w:bookmarkStart w:id="1016" w:name="_Toc30125"/>
      <w:bookmarkStart w:id="1017" w:name="_Toc27525"/>
      <w:bookmarkStart w:id="1018" w:name="_Toc8435"/>
      <w:bookmarkStart w:id="1019" w:name="_Toc2957"/>
      <w:bookmarkStart w:id="1020" w:name="_Toc10830"/>
      <w:bookmarkStart w:id="1021" w:name="_Toc19911"/>
      <w:bookmarkStart w:id="1022" w:name="_Toc28594"/>
      <w:bookmarkStart w:id="1023" w:name="_Toc28136"/>
      <w:bookmarkStart w:id="1024" w:name="_Toc1683"/>
      <w:bookmarkStart w:id="1025" w:name="_Toc663"/>
      <w:bookmarkStart w:id="1026" w:name="_Toc1228"/>
      <w:bookmarkStart w:id="1027" w:name="_Toc22488"/>
      <w:bookmarkStart w:id="1028" w:name="_Toc2249"/>
      <w:bookmarkStart w:id="1029" w:name="_Toc14217"/>
      <w:bookmarkStart w:id="1030" w:name="_Toc4953"/>
      <w:bookmarkStart w:id="1031" w:name="_Toc18146"/>
      <w:bookmarkStart w:id="1032" w:name="_Toc29322"/>
      <w:bookmarkStart w:id="1033" w:name="_Toc26248"/>
      <w:bookmarkStart w:id="1034" w:name="_Toc24925"/>
      <w:bookmarkStart w:id="1035" w:name="_Toc22179"/>
      <w:bookmarkStart w:id="1036" w:name="_Toc1705"/>
      <w:bookmarkStart w:id="1037" w:name="_Toc7458"/>
      <w:bookmarkStart w:id="1038" w:name="_Toc20836"/>
      <w:bookmarkStart w:id="1039" w:name="_Toc2612"/>
      <w:bookmarkStart w:id="1040" w:name="_Toc12636"/>
      <w:bookmarkStart w:id="1041" w:name="_Toc23397"/>
      <w:r>
        <w:rPr>
          <w:rFonts w:hint="eastAsia" w:ascii="仿宋" w:hAnsi="仿宋" w:eastAsia="仿宋" w:cs="仿宋"/>
          <w:b/>
          <w:bCs/>
        </w:rPr>
        <w:t>第六章投标技术文件一般要求</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35"/>
        <w:tblW w:w="9447"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50mm*100mm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元/2台/天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7-1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2020mm*1540mm*110mm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8芯单模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1光4电</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13-2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1发1收</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中国重汽集团济南特种车有限公司总装线、车身线、物流仓库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FF0000"/>
                <w:kern w:val="0"/>
                <w:sz w:val="20"/>
                <w:szCs w:val="20"/>
                <w:highlight w:val="yellow"/>
                <w:u w:val="none"/>
                <w:lang w:val="en-US" w:eastAsia="zh-CN" w:bidi="ar"/>
              </w:rPr>
              <w:t>招标方</w:t>
            </w:r>
            <w:r>
              <w:rPr>
                <w:rFonts w:hint="eastAsia" w:ascii="仿宋" w:hAnsi="仿宋" w:eastAsia="仿宋" w:cs="仿宋"/>
                <w:b/>
                <w:bCs/>
                <w:i w:val="0"/>
                <w:iCs w:val="0"/>
                <w:color w:val="000000"/>
                <w:kern w:val="0"/>
                <w:sz w:val="20"/>
                <w:szCs w:val="20"/>
                <w:u w:val="none"/>
                <w:lang w:val="en-US" w:eastAsia="zh-CN" w:bidi="ar"/>
              </w:rPr>
              <w:t>施工要求；大屏钢结构可靠牢固，采用吊装方式安装于总装线、车身线、仓库上方</w:t>
            </w:r>
            <w:r>
              <w:rPr>
                <w:rFonts w:hint="eastAsia" w:ascii="仿宋" w:hAnsi="仿宋" w:eastAsia="仿宋" w:cs="仿宋"/>
                <w:b/>
                <w:bCs/>
                <w:i w:val="0"/>
                <w:iCs w:val="0"/>
                <w:color w:val="FF0000"/>
                <w:kern w:val="0"/>
                <w:sz w:val="20"/>
                <w:szCs w:val="20"/>
                <w:highlight w:val="yellow"/>
                <w:u w:val="none"/>
                <w:lang w:val="en-US" w:eastAsia="zh-CN" w:bidi="ar"/>
              </w:rPr>
              <w:t>屏体框架下沿</w:t>
            </w:r>
            <w:r>
              <w:rPr>
                <w:rFonts w:hint="eastAsia" w:ascii="仿宋" w:hAnsi="仿宋" w:eastAsia="仿宋" w:cs="仿宋"/>
                <w:b/>
                <w:bCs/>
                <w:i w:val="0"/>
                <w:iCs w:val="0"/>
                <w:color w:val="000000"/>
                <w:kern w:val="0"/>
                <w:sz w:val="20"/>
                <w:szCs w:val="20"/>
                <w:u w:val="none"/>
                <w:lang w:val="en-US" w:eastAsia="zh-CN" w:bidi="ar"/>
              </w:rPr>
              <w:t>距地面5米左右处，上方固定点不得破坏建筑主体，</w:t>
            </w:r>
            <w:r>
              <w:rPr>
                <w:rFonts w:hint="eastAsia" w:ascii="仿宋" w:hAnsi="仿宋" w:eastAsia="仿宋" w:cs="仿宋"/>
                <w:b/>
                <w:bCs/>
                <w:i w:val="0"/>
                <w:iCs w:val="0"/>
                <w:color w:val="FF0000"/>
                <w:kern w:val="0"/>
                <w:sz w:val="20"/>
                <w:szCs w:val="20"/>
                <w:highlight w:val="yellow"/>
                <w:u w:val="none"/>
                <w:lang w:val="en-US" w:eastAsia="zh-CN" w:bidi="ar"/>
              </w:rPr>
              <w:t>固定点采用定制夹持器与房梁固定，避免在房梁钻孔造成结构不稳</w:t>
            </w:r>
            <w:r>
              <w:rPr>
                <w:rFonts w:hint="eastAsia" w:ascii="仿宋" w:hAnsi="仿宋" w:eastAsia="仿宋" w:cs="仿宋"/>
                <w:b/>
                <w:bCs/>
                <w:i w:val="0"/>
                <w:iCs w:val="0"/>
                <w:color w:val="000000"/>
                <w:kern w:val="0"/>
                <w:sz w:val="20"/>
                <w:szCs w:val="20"/>
                <w:u w:val="none"/>
                <w:lang w:val="en-US" w:eastAsia="zh-CN" w:bidi="ar"/>
              </w:rPr>
              <w:t>。取电采用就近取电。总装线、车身线大屏控制线路接至北办公楼一楼制造部会议室内，仓库大屏控制端线路接至载信物流仓库北门办公室内。</w:t>
            </w:r>
            <w:r>
              <w:rPr>
                <w:rFonts w:hint="eastAsia" w:ascii="仿宋" w:hAnsi="仿宋" w:eastAsia="仿宋" w:cs="仿宋"/>
                <w:b/>
                <w:bCs/>
                <w:i w:val="0"/>
                <w:iCs w:val="0"/>
                <w:color w:val="FF0000"/>
                <w:kern w:val="0"/>
                <w:sz w:val="20"/>
                <w:szCs w:val="20"/>
                <w:highlight w:val="yellow"/>
                <w:u w:val="none"/>
                <w:lang w:val="en-US" w:eastAsia="zh-CN" w:bidi="ar"/>
              </w:rPr>
              <w:t>投标方负责所安装大屏的通电调试。</w:t>
            </w:r>
          </w:p>
        </w:tc>
      </w:tr>
    </w:tbl>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pPr>
        <w:adjustRightInd w:val="0"/>
        <w:snapToGrid w:val="0"/>
        <w:spacing w:line="420" w:lineRule="exact"/>
        <w:ind w:firstLine="1890" w:firstLineChars="900"/>
        <w:rPr>
          <w:rFonts w:ascii="仿宋" w:hAnsi="仿宋" w:eastAsia="仿宋" w:cs="仿宋"/>
        </w:rPr>
      </w:pPr>
      <w:r>
        <w:rPr>
          <w:rFonts w:hint="eastAsia" w:ascii="仿宋" w:hAnsi="仿宋" w:eastAsia="仿宋" w:cs="仿宋"/>
        </w:rPr>
        <w:t>备品备件、易损件和专用耗材明细表            单位：元</w:t>
      </w:r>
    </w:p>
    <w:tbl>
      <w:tblPr>
        <w:tblStyle w:val="35"/>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序号</w:t>
            </w:r>
          </w:p>
        </w:tc>
        <w:tc>
          <w:tcPr>
            <w:tcW w:w="1924" w:type="dxa"/>
          </w:tcPr>
          <w:p>
            <w:pPr>
              <w:adjustRightInd w:val="0"/>
              <w:snapToGrid w:val="0"/>
              <w:spacing w:line="360" w:lineRule="exact"/>
              <w:jc w:val="center"/>
              <w:rPr>
                <w:rFonts w:ascii="仿宋" w:hAnsi="仿宋" w:eastAsia="仿宋" w:cs="仿宋"/>
              </w:rPr>
            </w:pPr>
            <w:r>
              <w:rPr>
                <w:rFonts w:hint="eastAsia" w:ascii="仿宋" w:hAnsi="仿宋" w:eastAsia="仿宋" w:cs="仿宋"/>
              </w:rPr>
              <w:t>名称</w:t>
            </w:r>
          </w:p>
        </w:tc>
        <w:tc>
          <w:tcPr>
            <w:tcW w:w="1236" w:type="dxa"/>
          </w:tcPr>
          <w:p>
            <w:pPr>
              <w:adjustRightInd w:val="0"/>
              <w:snapToGrid w:val="0"/>
              <w:spacing w:line="360" w:lineRule="exact"/>
              <w:jc w:val="center"/>
              <w:rPr>
                <w:rFonts w:ascii="仿宋" w:hAnsi="仿宋" w:eastAsia="仿宋" w:cs="仿宋"/>
              </w:rPr>
            </w:pPr>
            <w:r>
              <w:rPr>
                <w:rFonts w:hint="eastAsia" w:ascii="仿宋" w:hAnsi="仿宋" w:eastAsia="仿宋" w:cs="仿宋"/>
              </w:rPr>
              <w:t>型号规格</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单位</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数量</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单价</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总价</w:t>
            </w:r>
          </w:p>
        </w:tc>
        <w:tc>
          <w:tcPr>
            <w:tcW w:w="2235" w:type="dxa"/>
          </w:tcPr>
          <w:p>
            <w:pPr>
              <w:adjustRightInd w:val="0"/>
              <w:snapToGrid w:val="0"/>
              <w:spacing w:line="360" w:lineRule="exact"/>
              <w:jc w:val="center"/>
              <w:rPr>
                <w:rFonts w:ascii="仿宋" w:hAnsi="仿宋" w:eastAsia="仿宋" w:cs="仿宋"/>
              </w:rPr>
            </w:pPr>
            <w:r>
              <w:rPr>
                <w:rFonts w:hint="eastAsia" w:ascii="仿宋" w:hAnsi="仿宋" w:eastAsia="仿宋" w:cs="仿宋"/>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1</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2</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3</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4</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5</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bl>
    <w:p>
      <w:pPr>
        <w:pStyle w:val="16"/>
      </w:pP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42" w:name="_Toc133783976"/>
    </w:p>
    <w:bookmarkEnd w:id="1042"/>
    <w:p>
      <w:pPr>
        <w:adjustRightInd w:val="0"/>
        <w:snapToGrid w:val="0"/>
        <w:spacing w:before="163" w:beforeLines="50" w:after="163" w:afterLines="50" w:line="360" w:lineRule="auto"/>
        <w:jc w:val="center"/>
        <w:outlineLvl w:val="0"/>
        <w:rPr>
          <w:rFonts w:ascii="仿宋" w:hAnsi="仿宋" w:eastAsia="仿宋" w:cs="仿宋"/>
          <w:b/>
          <w:bCs/>
        </w:rPr>
      </w:pPr>
      <w:bookmarkStart w:id="1043" w:name="_Toc23538"/>
      <w:bookmarkStart w:id="1044" w:name="_Toc7541"/>
      <w:bookmarkStart w:id="1045" w:name="_Toc2783"/>
      <w:bookmarkStart w:id="1046" w:name="_Toc26481"/>
      <w:bookmarkStart w:id="1047" w:name="_Toc1126"/>
      <w:bookmarkStart w:id="1048" w:name="_Toc19821"/>
      <w:bookmarkStart w:id="1049" w:name="_Toc17174"/>
      <w:bookmarkStart w:id="1050" w:name="_Toc16301"/>
      <w:bookmarkStart w:id="1051" w:name="_Toc623"/>
      <w:bookmarkStart w:id="1052" w:name="_Toc3256"/>
      <w:bookmarkStart w:id="1053" w:name="_Toc671"/>
      <w:bookmarkStart w:id="1054" w:name="_Toc13350"/>
      <w:bookmarkStart w:id="1055" w:name="_Toc29655"/>
      <w:bookmarkStart w:id="1056" w:name="_Toc15684"/>
      <w:bookmarkStart w:id="1057" w:name="_Toc22743"/>
      <w:bookmarkStart w:id="1058" w:name="_Toc19444"/>
      <w:bookmarkStart w:id="1059" w:name="_Toc73112426"/>
      <w:bookmarkStart w:id="1060" w:name="_Toc31830"/>
      <w:bookmarkStart w:id="1061" w:name="_Toc13666"/>
      <w:bookmarkStart w:id="1062" w:name="_Toc32403"/>
      <w:bookmarkStart w:id="1063" w:name="_Toc24651"/>
      <w:bookmarkStart w:id="1064" w:name="_Toc147"/>
      <w:bookmarkStart w:id="1065" w:name="_Toc2177"/>
      <w:bookmarkStart w:id="1066" w:name="_Toc919"/>
      <w:bookmarkStart w:id="1067" w:name="_Toc11416"/>
      <w:bookmarkStart w:id="1068" w:name="_Toc24401"/>
      <w:bookmarkStart w:id="1069" w:name="_Toc26559"/>
      <w:bookmarkStart w:id="1070" w:name="_Toc5153"/>
      <w:bookmarkStart w:id="1071" w:name="_Toc10484"/>
      <w:bookmarkStart w:id="1072" w:name="_Toc29369"/>
      <w:bookmarkStart w:id="1073" w:name="_Toc15645"/>
      <w:bookmarkStart w:id="1074" w:name="_Toc4563"/>
      <w:bookmarkStart w:id="1075" w:name="_Toc25823"/>
      <w:bookmarkStart w:id="1076" w:name="_Toc10081"/>
      <w:bookmarkStart w:id="1077" w:name="_Toc2151"/>
      <w:bookmarkStart w:id="1078" w:name="_Toc2341"/>
      <w:bookmarkStart w:id="1079" w:name="_Toc9954"/>
      <w:bookmarkStart w:id="1080" w:name="_Toc17463"/>
      <w:bookmarkStart w:id="1081" w:name="_Toc19119"/>
      <w:bookmarkStart w:id="1082" w:name="_Toc11155"/>
      <w:bookmarkStart w:id="1083" w:name="_Toc3744"/>
      <w:bookmarkStart w:id="1084" w:name="_Toc7423"/>
      <w:bookmarkStart w:id="1085" w:name="_Toc5380"/>
      <w:bookmarkStart w:id="1086" w:name="_Toc17045"/>
      <w:r>
        <w:rPr>
          <w:rFonts w:hint="eastAsia" w:ascii="仿宋" w:hAnsi="仿宋" w:eastAsia="仿宋" w:cs="仿宋"/>
          <w:b/>
          <w:bCs/>
        </w:rPr>
        <w:t>第七章其它要求</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snapToGrid w:val="0"/>
        <w:spacing w:line="360" w:lineRule="auto"/>
        <w:ind w:left="480"/>
        <w:outlineLvl w:val="1"/>
        <w:rPr>
          <w:rFonts w:ascii="仿宋" w:hAnsi="仿宋" w:eastAsia="仿宋" w:cs="仿宋"/>
          <w:b/>
          <w:bCs/>
        </w:rPr>
      </w:pPr>
      <w:bookmarkStart w:id="1087" w:name="_Toc26831"/>
      <w:bookmarkStart w:id="1088" w:name="_Toc25903"/>
      <w:bookmarkStart w:id="1089" w:name="_Toc29015"/>
      <w:bookmarkStart w:id="1090" w:name="_Toc24669"/>
      <w:bookmarkStart w:id="1091" w:name="_Toc13820"/>
      <w:bookmarkStart w:id="1092" w:name="_Toc12542"/>
      <w:bookmarkStart w:id="1093" w:name="_Toc15541"/>
      <w:bookmarkStart w:id="1094" w:name="_Toc24181"/>
      <w:bookmarkStart w:id="1095" w:name="_Toc32012"/>
      <w:bookmarkStart w:id="1096" w:name="_Toc11058"/>
      <w:bookmarkStart w:id="1097" w:name="_Toc24680"/>
      <w:bookmarkStart w:id="1098" w:name="_Toc22010"/>
      <w:bookmarkStart w:id="1099" w:name="_Toc24782"/>
      <w:bookmarkStart w:id="1100" w:name="_Toc30535"/>
      <w:bookmarkStart w:id="1101" w:name="_Toc17702"/>
      <w:bookmarkStart w:id="1102" w:name="_Toc73112427"/>
      <w:bookmarkStart w:id="1103" w:name="_Toc11901"/>
      <w:bookmarkStart w:id="1104" w:name="_Toc5514"/>
      <w:bookmarkStart w:id="1105" w:name="_Toc28364"/>
      <w:bookmarkStart w:id="1106" w:name="_Toc16614"/>
      <w:bookmarkStart w:id="1107" w:name="_Toc29679"/>
      <w:bookmarkStart w:id="1108" w:name="_Toc18469"/>
      <w:bookmarkStart w:id="1109" w:name="_Toc27020"/>
      <w:bookmarkStart w:id="1110" w:name="_Toc15205"/>
      <w:bookmarkStart w:id="1111" w:name="_Toc16829"/>
      <w:bookmarkStart w:id="1112" w:name="_Toc17727"/>
      <w:bookmarkStart w:id="1113" w:name="_Toc17435"/>
      <w:bookmarkStart w:id="1114" w:name="_Toc15256"/>
      <w:bookmarkStart w:id="1115" w:name="_Toc17357"/>
      <w:bookmarkStart w:id="1116" w:name="_Toc20262"/>
      <w:bookmarkStart w:id="1117" w:name="_Toc27273"/>
      <w:bookmarkStart w:id="1118" w:name="_Toc16802"/>
      <w:bookmarkStart w:id="1119" w:name="_Toc21465"/>
      <w:bookmarkStart w:id="1120" w:name="_Toc14684"/>
      <w:bookmarkStart w:id="1121" w:name="_Toc2497"/>
      <w:bookmarkStart w:id="1122" w:name="_Toc32470"/>
      <w:bookmarkStart w:id="1123" w:name="_Toc14484"/>
      <w:bookmarkStart w:id="1124" w:name="_Toc31105"/>
      <w:bookmarkStart w:id="1125" w:name="_Toc22430"/>
      <w:bookmarkStart w:id="1126" w:name="_Toc12406"/>
      <w:bookmarkStart w:id="1127" w:name="_Toc32544"/>
      <w:bookmarkStart w:id="1128" w:name="_Toc4997"/>
      <w:bookmarkStart w:id="1129" w:name="_Toc32525"/>
      <w:r>
        <w:rPr>
          <w:rFonts w:hint="eastAsia" w:ascii="仿宋" w:hAnsi="仿宋" w:eastAsia="仿宋" w:cs="仿宋"/>
          <w:b/>
          <w:bCs/>
        </w:rPr>
        <w:t>1特殊要求</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pStyle w:val="19"/>
        <w:snapToGrid w:val="0"/>
        <w:spacing w:line="360" w:lineRule="auto"/>
        <w:ind w:firstLine="420" w:firstLineChars="200"/>
        <w:rPr>
          <w:rFonts w:ascii="仿宋" w:hAnsi="仿宋" w:eastAsia="仿宋" w:cs="仿宋"/>
        </w:rPr>
      </w:pPr>
      <w:r>
        <w:rPr>
          <w:rFonts w:hint="eastAsia" w:ascii="仿宋" w:hAnsi="仿宋" w:eastAsia="仿宋" w:cs="仿宋"/>
        </w:rPr>
        <w:t>为保证本技术标书所列采购货物的质量以及先进性、可靠性、经济性和实用性，要求投标方在投标文件中，至少应具备以下资格证明文件或资料：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1.4应附有其它与投标单位、采购货物有关的荣誉证书或资料。</w:t>
      </w:r>
    </w:p>
    <w:p>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rPr>
      </w:pPr>
      <w:bookmarkStart w:id="1130" w:name="_Toc8864"/>
      <w:bookmarkStart w:id="1131" w:name="_Toc3821"/>
      <w:bookmarkStart w:id="1132" w:name="_Toc25498"/>
      <w:bookmarkStart w:id="1133" w:name="_Toc14052"/>
      <w:bookmarkStart w:id="1134" w:name="_Toc335"/>
      <w:bookmarkStart w:id="1135" w:name="_Toc16457"/>
      <w:bookmarkStart w:id="1136" w:name="_Toc5504"/>
      <w:bookmarkStart w:id="1137" w:name="_Toc18674"/>
      <w:bookmarkStart w:id="1138" w:name="_Toc21942"/>
      <w:bookmarkStart w:id="1139" w:name="_Toc28718"/>
      <w:bookmarkStart w:id="1140" w:name="_Toc3323"/>
      <w:bookmarkStart w:id="1141" w:name="_Toc28700"/>
      <w:bookmarkStart w:id="1142" w:name="_Toc20830"/>
      <w:bookmarkStart w:id="1143" w:name="_Toc28380"/>
      <w:bookmarkStart w:id="1144" w:name="_Toc14956"/>
      <w:bookmarkStart w:id="1145" w:name="_Toc31389"/>
      <w:bookmarkStart w:id="1146" w:name="_Toc4243"/>
      <w:bookmarkStart w:id="1147" w:name="_Toc25028"/>
      <w:bookmarkStart w:id="1148" w:name="_Toc22763"/>
      <w:bookmarkStart w:id="1149" w:name="_Toc19315"/>
      <w:bookmarkStart w:id="1150" w:name="_Toc24482"/>
      <w:bookmarkStart w:id="1151" w:name="_Toc28267"/>
      <w:bookmarkStart w:id="1152" w:name="_Toc29233"/>
      <w:bookmarkStart w:id="1153" w:name="_Toc18745"/>
      <w:bookmarkStart w:id="1154" w:name="_Toc26626"/>
      <w:bookmarkStart w:id="1155" w:name="_Toc22893"/>
      <w:bookmarkStart w:id="1156" w:name="_Toc13528"/>
      <w:bookmarkStart w:id="1157" w:name="_Toc1823"/>
      <w:bookmarkStart w:id="1158" w:name="_Toc26724"/>
      <w:bookmarkStart w:id="1159" w:name="_Toc24176"/>
      <w:bookmarkStart w:id="1160" w:name="_Toc27164"/>
      <w:bookmarkStart w:id="1161" w:name="_Toc73112429"/>
      <w:bookmarkStart w:id="1162" w:name="_Toc11255"/>
      <w:bookmarkStart w:id="1163" w:name="_Toc29954"/>
      <w:bookmarkStart w:id="1164" w:name="_Toc11707"/>
      <w:bookmarkStart w:id="1165" w:name="_Toc4278"/>
      <w:bookmarkStart w:id="1166" w:name="_Toc28559"/>
      <w:bookmarkStart w:id="1167" w:name="_Toc18370"/>
      <w:bookmarkStart w:id="1168" w:name="_Toc27894"/>
      <w:bookmarkStart w:id="1169" w:name="_Toc26307"/>
      <w:bookmarkStart w:id="1170" w:name="_Toc20370"/>
      <w:bookmarkStart w:id="1171" w:name="_Toc3658"/>
      <w:bookmarkStart w:id="1172" w:name="_Toc13497"/>
      <w:r>
        <w:rPr>
          <w:rFonts w:hint="eastAsia" w:ascii="仿宋" w:hAnsi="仿宋" w:eastAsia="仿宋" w:cs="仿宋"/>
          <w:b/>
          <w:bCs/>
        </w:rPr>
        <w:t>2说明</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ascii="仿宋" w:hAnsi="仿宋" w:eastAsia="仿宋" w:cs="仿宋"/>
          <w:b/>
          <w:bCs/>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sectPr>
          <w:headerReference r:id="rId11" w:type="default"/>
          <w:footerReference r:id="rId12" w:type="default"/>
          <w:pgSz w:w="11907" w:h="16840"/>
          <w:pgMar w:top="1304" w:right="1418" w:bottom="1304" w:left="1418" w:header="724" w:footer="851" w:gutter="0"/>
          <w:cols w:space="720" w:num="1"/>
          <w:docGrid w:linePitch="290" w:charSpace="-3931"/>
        </w:sectPr>
      </w:pPr>
    </w:p>
    <w:p>
      <w:pPr>
        <w:rPr>
          <w:rFonts w:ascii="宋体" w:hAnsi="宋体" w:eastAsia="宋体" w:cs="Times New Roman"/>
          <w:b/>
          <w:color w:val="auto"/>
          <w:sz w:val="36"/>
          <w:szCs w:val="36"/>
        </w:rPr>
      </w:pPr>
      <w:bookmarkStart w:id="1173" w:name="_Toc28859"/>
    </w:p>
    <w:p>
      <w:pPr>
        <w:spacing w:line="360" w:lineRule="auto"/>
        <w:jc w:val="center"/>
        <w:outlineLvl w:val="0"/>
        <w:rPr>
          <w:rFonts w:ascii="宋体" w:hAnsi="Calibri" w:eastAsia="宋体" w:cs="Times New Roman"/>
          <w:b/>
          <w:color w:val="auto"/>
          <w:sz w:val="36"/>
          <w:szCs w:val="36"/>
        </w:rPr>
      </w:pPr>
      <w:r>
        <w:rPr>
          <w:rFonts w:hint="eastAsia" w:ascii="宋体" w:hAnsi="宋体" w:eastAsia="宋体" w:cs="Times New Roman"/>
          <w:b/>
          <w:color w:val="auto"/>
          <w:sz w:val="36"/>
          <w:szCs w:val="36"/>
        </w:rPr>
        <w:t>第五部分</w:t>
      </w:r>
      <w:r>
        <w:rPr>
          <w:rFonts w:ascii="宋体" w:hAnsi="宋体" w:eastAsia="宋体" w:cs="Times New Roman"/>
          <w:b/>
          <w:color w:val="auto"/>
          <w:sz w:val="36"/>
          <w:szCs w:val="36"/>
        </w:rPr>
        <w:t xml:space="preserve"> </w:t>
      </w:r>
      <w:r>
        <w:rPr>
          <w:rFonts w:hint="eastAsia" w:ascii="宋体" w:hAnsi="宋体" w:eastAsia="宋体" w:cs="Times New Roman"/>
          <w:b/>
          <w:color w:val="auto"/>
          <w:sz w:val="36"/>
          <w:szCs w:val="36"/>
        </w:rPr>
        <w:t>设备采购合同</w:t>
      </w:r>
      <w:bookmarkEnd w:id="1173"/>
    </w:p>
    <w:p>
      <w:pPr>
        <w:adjustRightInd w:val="0"/>
        <w:snapToGrid w:val="0"/>
        <w:spacing w:line="360" w:lineRule="auto"/>
        <w:jc w:val="left"/>
        <w:rPr>
          <w:rFonts w:ascii="宋体" w:hAnsi="宋体"/>
          <w:color w:val="auto"/>
          <w:sz w:val="20"/>
          <w:szCs w:val="20"/>
        </w:rPr>
      </w:pPr>
      <w:r>
        <w:rPr>
          <w:rFonts w:ascii="宋体" w:hAnsi="宋体"/>
          <w:color w:val="auto"/>
          <w:sz w:val="20"/>
          <w:szCs w:val="20"/>
        </w:rPr>
        <w:t xml:space="preserve">                                      </w:t>
      </w:r>
      <w:r>
        <w:rPr>
          <w:rFonts w:hint="eastAsia" w:ascii="宋体" w:hAnsi="宋体"/>
          <w:color w:val="auto"/>
          <w:sz w:val="20"/>
          <w:szCs w:val="20"/>
        </w:rPr>
        <w:t xml:space="preserve">  </w:t>
      </w:r>
    </w:p>
    <w:p>
      <w:pPr>
        <w:wordWrap w:val="0"/>
        <w:adjustRightInd w:val="0"/>
        <w:snapToGrid w:val="0"/>
        <w:spacing w:line="360" w:lineRule="auto"/>
        <w:jc w:val="righ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编号：</w:t>
      </w:r>
      <w:r>
        <w:rPr>
          <w:rFonts w:hint="eastAsia" w:ascii="方正小标宋简体" w:hAnsi="宋体" w:eastAsia="方正小标宋简体"/>
          <w:color w:val="auto"/>
          <w:sz w:val="24"/>
          <w:szCs w:val="24"/>
          <w:u w:val="thick"/>
        </w:rPr>
        <w:t xml:space="preserve">                  </w:t>
      </w:r>
    </w:p>
    <w:p>
      <w:pPr>
        <w:adjustRightInd w:val="0"/>
        <w:snapToGrid w:val="0"/>
        <w:spacing w:line="360" w:lineRule="auto"/>
        <w:jc w:val="left"/>
        <w:rPr>
          <w:rFonts w:ascii="宋体" w:hAnsi="宋体"/>
          <w:color w:val="auto"/>
          <w:sz w:val="20"/>
          <w:szCs w:val="20"/>
        </w:rPr>
      </w:pPr>
    </w:p>
    <w:p>
      <w:pPr>
        <w:adjustRightInd w:val="0"/>
        <w:snapToGrid w:val="0"/>
        <w:spacing w:line="360" w:lineRule="auto"/>
        <w:jc w:val="left"/>
        <w:rPr>
          <w:rFonts w:ascii="宋体" w:hAnsi="宋体"/>
          <w:color w:val="auto"/>
          <w:sz w:val="20"/>
          <w:szCs w:val="20"/>
        </w:rPr>
      </w:pPr>
    </w:p>
    <w:p>
      <w:pPr>
        <w:adjustRightInd w:val="0"/>
        <w:snapToGrid w:val="0"/>
        <w:spacing w:line="360" w:lineRule="auto"/>
        <w:jc w:val="left"/>
        <w:rPr>
          <w:rFonts w:ascii="宋体" w:hAnsi="宋体"/>
          <w:color w:val="auto"/>
          <w:sz w:val="20"/>
          <w:szCs w:val="20"/>
        </w:rPr>
      </w:pPr>
    </w:p>
    <w:p>
      <w:pPr>
        <w:adjustRightInd w:val="0"/>
        <w:snapToGrid w:val="0"/>
        <w:spacing w:line="360" w:lineRule="auto"/>
        <w:jc w:val="left"/>
        <w:rPr>
          <w:rFonts w:ascii="宋体" w:hAnsi="宋体"/>
          <w:color w:val="auto"/>
          <w:sz w:val="20"/>
          <w:szCs w:val="20"/>
        </w:rPr>
      </w:pPr>
    </w:p>
    <w:p>
      <w:pPr>
        <w:adjustRightInd w:val="0"/>
        <w:snapToGrid w:val="0"/>
        <w:spacing w:line="360" w:lineRule="auto"/>
        <w:jc w:val="center"/>
        <w:rPr>
          <w:rFonts w:ascii="方正小标宋简体" w:hAnsi="宋体" w:eastAsia="方正小标宋简体"/>
          <w:bCs/>
          <w:color w:val="auto"/>
          <w:sz w:val="52"/>
          <w:szCs w:val="36"/>
        </w:rPr>
      </w:pPr>
    </w:p>
    <w:p>
      <w:pPr>
        <w:adjustRightInd w:val="0"/>
        <w:snapToGrid w:val="0"/>
        <w:spacing w:line="360" w:lineRule="auto"/>
        <w:jc w:val="center"/>
        <w:rPr>
          <w:rFonts w:ascii="方正小标宋简体" w:hAnsi="宋体" w:eastAsia="方正小标宋简体"/>
          <w:bCs/>
          <w:color w:val="auto"/>
          <w:sz w:val="52"/>
          <w:szCs w:val="36"/>
        </w:rPr>
      </w:pPr>
    </w:p>
    <w:p>
      <w:pPr>
        <w:adjustRightInd w:val="0"/>
        <w:snapToGrid w:val="0"/>
        <w:spacing w:line="360" w:lineRule="auto"/>
        <w:jc w:val="center"/>
        <w:rPr>
          <w:rFonts w:ascii="方正小标宋简体" w:hAnsi="宋体" w:eastAsia="方正小标宋简体"/>
          <w:bCs/>
          <w:color w:val="auto"/>
          <w:sz w:val="52"/>
          <w:szCs w:val="36"/>
        </w:rPr>
      </w:pPr>
      <w:r>
        <w:rPr>
          <w:rFonts w:hint="eastAsia" w:ascii="方正小标宋简体" w:hAnsi="宋体" w:eastAsia="方正小标宋简体"/>
          <w:bCs/>
          <w:color w:val="auto"/>
          <w:sz w:val="52"/>
          <w:szCs w:val="36"/>
        </w:rPr>
        <w:t>设备采购合同（模板）</w:t>
      </w:r>
    </w:p>
    <w:p>
      <w:pPr>
        <w:pStyle w:val="16"/>
        <w:framePr w:wrap="around"/>
        <w:rPr>
          <w:color w:val="auto"/>
        </w:rPr>
      </w:pPr>
      <w:r>
        <w:rPr>
          <w:rFonts w:hint="eastAsia"/>
          <w:color w:val="auto"/>
        </w:rPr>
        <w:t>（合同以双方最终签署的版本为准）</w:t>
      </w: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ind w:firstLine="2107" w:firstLineChars="878"/>
        <w:jc w:val="left"/>
        <w:rPr>
          <w:rFonts w:ascii="方正小标宋简体" w:hAnsi="宋体" w:eastAsia="方正小标宋简体" w:cs="Times New Roman"/>
          <w:color w:val="auto"/>
          <w:sz w:val="24"/>
          <w:szCs w:val="24"/>
          <w:u w:val="thick"/>
        </w:rPr>
      </w:pPr>
      <w:r>
        <w:rPr>
          <w:rFonts w:hint="eastAsia" w:ascii="方正小标宋简体" w:hAnsi="宋体" w:eastAsia="方正小标宋简体" w:cs="Times New Roman"/>
          <w:color w:val="auto"/>
          <w:sz w:val="24"/>
          <w:szCs w:val="24"/>
        </w:rPr>
        <w:t>甲  方：</w:t>
      </w:r>
      <w:r>
        <w:rPr>
          <w:rFonts w:hint="eastAsia" w:ascii="方正小标宋简体" w:hAnsi="宋体" w:eastAsia="方正小标宋简体" w:cs="Times New Roman"/>
          <w:color w:val="auto"/>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 xml:space="preserve"> </w:t>
      </w:r>
    </w:p>
    <w:p>
      <w:pPr>
        <w:adjustRightInd w:val="0"/>
        <w:snapToGrid w:val="0"/>
        <w:spacing w:line="360" w:lineRule="auto"/>
        <w:ind w:firstLine="2107" w:firstLineChars="878"/>
        <w:jc w:val="lef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乙  方：</w:t>
      </w:r>
      <w:r>
        <w:rPr>
          <w:rFonts w:hint="eastAsia" w:ascii="方正小标宋简体" w:hAnsi="宋体" w:eastAsia="方正小标宋简体"/>
          <w:color w:val="auto"/>
          <w:sz w:val="24"/>
          <w:szCs w:val="24"/>
          <w:u w:val="thick"/>
        </w:rPr>
        <w:t xml:space="preserve">                           </w:t>
      </w:r>
    </w:p>
    <w:p>
      <w:pPr>
        <w:spacing w:line="360" w:lineRule="auto"/>
        <w:ind w:right="480"/>
        <w:rPr>
          <w:rFonts w:ascii="宋体" w:hAnsi="宋体" w:cs="宋体"/>
          <w:bCs/>
          <w:color w:val="auto"/>
          <w:sz w:val="24"/>
          <w:u w:val="single"/>
        </w:rPr>
      </w:pPr>
      <w:r>
        <w:rPr>
          <w:rFonts w:hint="eastAsia" w:ascii="宋体" w:hAnsi="宋体" w:cs="宋体"/>
          <w:bCs/>
          <w:color w:val="auto"/>
          <w:sz w:val="24"/>
        </w:rPr>
        <w:t xml:space="preserve">                                       </w:t>
      </w:r>
    </w:p>
    <w:p>
      <w:pPr>
        <w:spacing w:line="360" w:lineRule="auto"/>
        <w:rPr>
          <w:rFonts w:ascii="宋体" w:hAnsi="宋体" w:cs="宋体"/>
          <w:bCs/>
          <w:color w:val="auto"/>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color w:val="auto"/>
          <w:sz w:val="24"/>
          <w:szCs w:val="24"/>
        </w:rPr>
      </w:pPr>
      <w:r>
        <w:rPr>
          <w:rFonts w:hint="eastAsia" w:ascii="宋体" w:hAnsi="宋体" w:cs="宋体"/>
          <w:bCs/>
          <w:color w:val="auto"/>
          <w:sz w:val="22"/>
        </w:rPr>
        <w:t xml:space="preserve"> </w:t>
      </w:r>
      <w:bookmarkStart w:id="1174" w:name="_Toc29691"/>
      <w:r>
        <w:rPr>
          <w:rFonts w:hint="eastAsia" w:ascii="宋体" w:hAnsi="宋体" w:cs="宋体"/>
          <w:bCs/>
          <w:color w:val="auto"/>
          <w:sz w:val="22"/>
        </w:rPr>
        <w:t xml:space="preserve"> </w:t>
      </w:r>
      <w:r>
        <w:rPr>
          <w:rFonts w:hint="eastAsia" w:ascii="仿宋_GB2312" w:hAnsi="宋体" w:eastAsia="仿宋_GB2312" w:cs="宋体"/>
          <w:bCs/>
          <w:color w:val="auto"/>
          <w:sz w:val="24"/>
          <w:szCs w:val="24"/>
        </w:rPr>
        <w:t>甲方（买方）：</w:t>
      </w:r>
      <w:r>
        <w:rPr>
          <w:rFonts w:hint="eastAsia" w:ascii="仿宋_GB2312" w:hAnsi="宋体" w:eastAsia="仿宋_GB2312" w:cs="宋体"/>
          <w:b/>
          <w:bCs/>
          <w:color w:val="auto"/>
          <w:sz w:val="24"/>
          <w:szCs w:val="24"/>
          <w:u w:val="single"/>
        </w:rPr>
        <w:t xml:space="preserve">            </w:t>
      </w:r>
      <w:r>
        <w:rPr>
          <w:rFonts w:hint="eastAsia" w:ascii="仿宋_GB2312" w:hAnsi="宋体" w:eastAsia="仿宋_GB2312" w:cs="宋体"/>
          <w:bCs/>
          <w:color w:val="auto"/>
          <w:sz w:val="24"/>
          <w:szCs w:val="24"/>
        </w:rPr>
        <w:t xml:space="preserve">      </w:t>
      </w:r>
    </w:p>
    <w:p>
      <w:pPr>
        <w:spacing w:line="360" w:lineRule="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 xml:space="preserve">    </w:t>
      </w:r>
    </w:p>
    <w:p>
      <w:pPr>
        <w:spacing w:line="360" w:lineRule="auto"/>
        <w:ind w:right="-189" w:rightChars="-90" w:firstLine="120" w:firstLineChars="50"/>
        <w:jc w:val="left"/>
        <w:rPr>
          <w:rFonts w:ascii="仿宋_GB2312" w:hAnsi="宋体" w:eastAsia="仿宋_GB2312" w:cs="宋体"/>
          <w:b/>
          <w:bCs/>
          <w:color w:val="auto"/>
          <w:sz w:val="24"/>
          <w:szCs w:val="24"/>
          <w:u w:val="single"/>
        </w:rPr>
      </w:pPr>
      <w:r>
        <w:rPr>
          <w:rFonts w:hint="eastAsia" w:ascii="仿宋_GB2312" w:hAnsi="宋体" w:eastAsia="仿宋_GB2312" w:cs="宋体"/>
          <w:bCs/>
          <w:color w:val="auto"/>
          <w:sz w:val="24"/>
          <w:szCs w:val="24"/>
        </w:rPr>
        <w:t>乙方（卖方）：</w:t>
      </w:r>
      <w:r>
        <w:rPr>
          <w:rFonts w:hint="eastAsia" w:ascii="仿宋_GB2312" w:hAnsi="宋体" w:eastAsia="仿宋_GB2312" w:cs="宋体"/>
          <w:b/>
          <w:bCs/>
          <w:color w:val="auto"/>
          <w:sz w:val="24"/>
          <w:szCs w:val="24"/>
          <w:u w:val="single"/>
        </w:rPr>
        <w:t xml:space="preserve">            </w:t>
      </w:r>
    </w:p>
    <w:p>
      <w:pPr>
        <w:spacing w:line="360" w:lineRule="auto"/>
        <w:ind w:right="-189" w:rightChars="-90"/>
        <w:jc w:val="left"/>
        <w:rPr>
          <w:rFonts w:ascii="仿宋_GB2312" w:hAnsi="宋体" w:eastAsia="仿宋_GB2312" w:cs="宋体"/>
          <w:b/>
          <w:bCs/>
          <w:color w:val="auto"/>
          <w:sz w:val="24"/>
          <w:szCs w:val="24"/>
          <w:u w:val="single"/>
        </w:rPr>
      </w:pPr>
    </w:p>
    <w:p>
      <w:pPr>
        <w:spacing w:line="360" w:lineRule="auto"/>
        <w:ind w:firstLine="480" w:firstLineChars="200"/>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本设备采购合同由甲乙双方于山东省济南市（</w:t>
      </w:r>
      <w:r>
        <w:rPr>
          <w:rFonts w:hint="eastAsia" w:ascii="仿宋_GB2312" w:hAnsi="等线" w:eastAsia="仿宋_GB2312" w:cs="等线"/>
          <w:i/>
          <w:iCs/>
          <w:color w:val="auto"/>
          <w:sz w:val="24"/>
          <w:u w:val="single"/>
        </w:rPr>
        <w:t>可根据实际情况调整为甲方/买方所在地</w:t>
      </w:r>
      <w:r>
        <w:rPr>
          <w:rFonts w:hint="eastAsia" w:ascii="仿宋_GB2312" w:eastAsia="仿宋_GB2312" w:hAnsiTheme="minorEastAsia" w:cstheme="minorEastAsia"/>
          <w:color w:val="auto"/>
          <w:sz w:val="24"/>
          <w:szCs w:val="24"/>
        </w:rPr>
        <w:t>）签订：</w:t>
      </w:r>
    </w:p>
    <w:p>
      <w:pPr>
        <w:spacing w:line="360" w:lineRule="auto"/>
        <w:ind w:right="-189" w:rightChars="-90" w:firstLine="480" w:firstLineChars="200"/>
        <w:jc w:val="left"/>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鉴于，买方向卖方购买</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项目</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设备</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75" w:name="_Toc16330018"/>
      <w:bookmarkStart w:id="1176" w:name="_Toc17619"/>
      <w:bookmarkStart w:id="1177" w:name="_Toc11823"/>
      <w:bookmarkStart w:id="1178" w:name="_Toc11930"/>
      <w:r>
        <w:rPr>
          <w:rFonts w:hint="eastAsia" w:ascii="黑体" w:hAnsi="黑体" w:eastAsia="黑体" w:cstheme="minorEastAsia"/>
          <w:b w:val="0"/>
          <w:color w:val="auto"/>
          <w:sz w:val="28"/>
          <w:szCs w:val="28"/>
        </w:rPr>
        <w:t>1 合同设备</w:t>
      </w:r>
      <w:bookmarkEnd w:id="1175"/>
      <w:bookmarkEnd w:id="1176"/>
      <w:bookmarkEnd w:id="1177"/>
      <w:bookmarkEnd w:id="117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color w:val="auto"/>
          <w:sz w:val="24"/>
          <w:szCs w:val="24"/>
        </w:rPr>
      </w:pPr>
      <w:bookmarkStart w:id="1179" w:name="_Toc32510"/>
      <w:bookmarkStart w:id="1180" w:name="_Toc22800"/>
      <w:bookmarkStart w:id="1181" w:name="_Toc29026"/>
      <w:r>
        <w:rPr>
          <w:rFonts w:hint="eastAsia" w:ascii="仿宋_GB2312" w:eastAsia="仿宋_GB2312" w:hAnsiTheme="minorEastAsia" w:cstheme="minorEastAsia"/>
          <w:color w:val="auto"/>
          <w:sz w:val="24"/>
          <w:szCs w:val="24"/>
        </w:rPr>
        <w:t>1.2技术规格和标准</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82" w:name="_Toc16330019"/>
      <w:r>
        <w:rPr>
          <w:rFonts w:hint="eastAsia" w:ascii="黑体" w:hAnsi="黑体" w:eastAsia="黑体" w:cstheme="minorEastAsia"/>
          <w:b w:val="0"/>
          <w:color w:val="auto"/>
          <w:sz w:val="28"/>
          <w:szCs w:val="28"/>
        </w:rPr>
        <w:t>2 包装</w:t>
      </w:r>
      <w:bookmarkEnd w:id="1179"/>
      <w:bookmarkEnd w:id="1180"/>
      <w:bookmarkEnd w:id="1181"/>
      <w:bookmarkEnd w:id="1182"/>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83" w:name="_Toc27453"/>
      <w:bookmarkStart w:id="1184" w:name="_Toc16330020"/>
      <w:bookmarkStart w:id="1185" w:name="_Toc27144"/>
      <w:bookmarkStart w:id="1186" w:name="_Toc2833"/>
      <w:r>
        <w:rPr>
          <w:rFonts w:hint="eastAsia" w:ascii="黑体" w:hAnsi="黑体" w:eastAsia="黑体" w:cstheme="minorEastAsia"/>
          <w:b w:val="0"/>
          <w:color w:val="auto"/>
          <w:sz w:val="28"/>
          <w:szCs w:val="28"/>
        </w:rPr>
        <w:t>3 运输标记</w:t>
      </w:r>
      <w:bookmarkEnd w:id="1183"/>
      <w:bookmarkEnd w:id="1184"/>
      <w:bookmarkEnd w:id="1185"/>
      <w:bookmarkEnd w:id="1186"/>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3.1.1收货人</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3.1.2合同号</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3.1.3发货标记（唛头）</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3.1.4设备的名称、品目号、箱号</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3.1.5毛重/净重（公斤）</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3.1.6尺寸（长×宽×高，以厘米计）</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87" w:name="_Toc16133"/>
      <w:bookmarkStart w:id="1188" w:name="_Toc7431"/>
      <w:bookmarkStart w:id="1189" w:name="_Toc10630"/>
      <w:bookmarkStart w:id="1190" w:name="_Toc16330021"/>
      <w:r>
        <w:rPr>
          <w:rFonts w:hint="eastAsia" w:ascii="黑体" w:hAnsi="黑体" w:eastAsia="黑体" w:cstheme="minorEastAsia"/>
          <w:b w:val="0"/>
          <w:color w:val="auto"/>
          <w:sz w:val="28"/>
          <w:szCs w:val="28"/>
        </w:rPr>
        <w:t>4 检验</w:t>
      </w:r>
      <w:bookmarkEnd w:id="1187"/>
      <w:bookmarkEnd w:id="1188"/>
      <w:bookmarkEnd w:id="1189"/>
      <w:bookmarkEnd w:id="1190"/>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91" w:name="_Toc11217"/>
      <w:bookmarkStart w:id="1192" w:name="_Toc19850"/>
      <w:bookmarkStart w:id="1193" w:name="_Toc16330022"/>
      <w:bookmarkStart w:id="1194" w:name="_Toc24467"/>
      <w:r>
        <w:rPr>
          <w:rFonts w:hint="eastAsia" w:ascii="黑体" w:hAnsi="黑体" w:eastAsia="黑体" w:cstheme="minorEastAsia"/>
          <w:b w:val="0"/>
          <w:color w:val="auto"/>
          <w:sz w:val="28"/>
          <w:szCs w:val="28"/>
        </w:rPr>
        <w:t>5 权利担保</w:t>
      </w:r>
      <w:bookmarkEnd w:id="1191"/>
      <w:bookmarkEnd w:id="1192"/>
      <w:bookmarkEnd w:id="1193"/>
      <w:bookmarkEnd w:id="1194"/>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95" w:name="_Toc27500"/>
      <w:bookmarkStart w:id="1196" w:name="_Toc11759"/>
      <w:bookmarkStart w:id="1197" w:name="_Toc16330023"/>
      <w:bookmarkStart w:id="1198" w:name="_Toc14809"/>
      <w:r>
        <w:rPr>
          <w:rFonts w:hint="eastAsia" w:ascii="黑体" w:hAnsi="黑体" w:eastAsia="黑体" w:cstheme="minorEastAsia"/>
          <w:b w:val="0"/>
          <w:color w:val="auto"/>
          <w:sz w:val="28"/>
          <w:szCs w:val="28"/>
        </w:rPr>
        <w:t>6 交货</w:t>
      </w:r>
      <w:bookmarkEnd w:id="1195"/>
      <w:bookmarkEnd w:id="1196"/>
      <w:bookmarkEnd w:id="1197"/>
      <w:bookmarkEnd w:id="119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color w:val="auto"/>
          <w:sz w:val="24"/>
          <w:szCs w:val="24"/>
          <w:u w:val="double"/>
        </w:rPr>
      </w:pPr>
      <w:r>
        <w:rPr>
          <w:rFonts w:hint="eastAsia" w:ascii="仿宋_GB2312" w:eastAsia="仿宋_GB2312" w:hAnsiTheme="minorEastAsia" w:cstheme="minorEastAsia"/>
          <w:color w:val="auto"/>
          <w:sz w:val="24"/>
          <w:szCs w:val="24"/>
        </w:rPr>
        <w:t>6.4交货方式</w:t>
      </w:r>
      <w:r>
        <w:rPr>
          <w:rFonts w:hint="eastAsia" w:ascii="仿宋_GB2312" w:eastAsia="仿宋_GB2312" w:hAnsiTheme="minorEastAsia" w:cstheme="minorEastAsia"/>
          <w:bCs/>
          <w:color w:val="auto"/>
          <w:sz w:val="24"/>
          <w:szCs w:val="24"/>
        </w:rPr>
        <w:t>：</w:t>
      </w:r>
      <w:r>
        <w:rPr>
          <w:rFonts w:hint="eastAsia" w:ascii="仿宋_GB2312" w:eastAsia="仿宋_GB2312" w:hAnsiTheme="minorEastAsia" w:cstheme="minorEastAsia"/>
          <w:bCs/>
          <w:color w:val="auto"/>
          <w:sz w:val="24"/>
          <w:szCs w:val="24"/>
          <w:u w:val="single"/>
        </w:rPr>
        <w:t xml:space="preserve">        </w:t>
      </w:r>
      <w:r>
        <w:rPr>
          <w:rFonts w:hint="eastAsia" w:ascii="仿宋_GB2312" w:eastAsia="仿宋_GB2312" w:hAnsiTheme="minorEastAsia" w:cstheme="minorEastAsia"/>
          <w:iCs/>
          <w:color w:val="auto"/>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6.5交货地点：</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 xml:space="preserve">      </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6.6到货时间：</w:t>
      </w:r>
      <w:r>
        <w:rPr>
          <w:rFonts w:hint="eastAsia" w:ascii="仿宋_GB2312" w:eastAsia="仿宋_GB2312" w:hAnsiTheme="minorEastAsia" w:cstheme="minorEastAsia"/>
          <w:color w:val="auto"/>
          <w:sz w:val="24"/>
          <w:szCs w:val="24"/>
          <w:u w:val="single"/>
        </w:rPr>
        <w:t>20  年  月   日前</w:t>
      </w:r>
      <w:r>
        <w:rPr>
          <w:rFonts w:hint="eastAsia" w:ascii="仿宋_GB2312" w:eastAsia="仿宋_GB2312" w:hAnsiTheme="minorEastAsia" w:cstheme="minorEastAsia"/>
          <w:color w:val="auto"/>
          <w:sz w:val="24"/>
          <w:szCs w:val="24"/>
        </w:rPr>
        <w:t xml:space="preserve">         </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6.8卖方在交付设备前需通知买方。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6.9风险的转移：</w:t>
      </w:r>
    </w:p>
    <w:p>
      <w:pPr>
        <w:spacing w:line="360" w:lineRule="auto"/>
        <w:ind w:firstLine="453" w:firstLineChars="189"/>
        <w:rPr>
          <w:rFonts w:asciiTheme="minorEastAsia" w:hAnsiTheme="minorEastAsia" w:cstheme="minorEastAsia"/>
          <w:color w:val="auto"/>
          <w:sz w:val="20"/>
          <w:szCs w:val="20"/>
        </w:rPr>
      </w:pPr>
      <w:r>
        <w:rPr>
          <w:rFonts w:hint="eastAsia" w:ascii="仿宋_GB2312" w:eastAsia="仿宋_GB2312" w:hAnsiTheme="minorEastAsia" w:cstheme="minorEastAsia"/>
          <w:color w:val="auto"/>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99" w:name="_Toc8024"/>
      <w:bookmarkStart w:id="1200" w:name="_Toc16330024"/>
      <w:bookmarkStart w:id="1201" w:name="_Toc2984"/>
      <w:bookmarkStart w:id="1202" w:name="_Toc25510"/>
      <w:r>
        <w:rPr>
          <w:rFonts w:hint="eastAsia" w:ascii="黑体" w:hAnsi="黑体" w:eastAsia="黑体" w:cstheme="minorEastAsia"/>
          <w:b w:val="0"/>
          <w:color w:val="auto"/>
          <w:sz w:val="28"/>
          <w:szCs w:val="28"/>
        </w:rPr>
        <w:t>7 安装、调试</w:t>
      </w:r>
      <w:bookmarkEnd w:id="1199"/>
      <w:bookmarkEnd w:id="1200"/>
      <w:bookmarkEnd w:id="1201"/>
      <w:bookmarkEnd w:id="1202"/>
    </w:p>
    <w:p>
      <w:pPr>
        <w:pStyle w:val="10"/>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7.1 卖方须在到货后</w:t>
      </w:r>
      <w:r>
        <w:rPr>
          <w:rFonts w:hint="eastAsia"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日内安装调试完成。</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7.4</w:t>
      </w:r>
      <w:r>
        <w:rPr>
          <w:rFonts w:hint="eastAsia" w:ascii="仿宋_GB2312" w:hAnsi="黑体" w:eastAsia="仿宋_GB2312" w:cstheme="minorEastAsia"/>
          <w:bCs/>
          <w:color w:val="auto"/>
          <w:sz w:val="24"/>
          <w:szCs w:val="24"/>
        </w:rPr>
        <w:t xml:space="preserve"> </w:t>
      </w:r>
      <w:r>
        <w:rPr>
          <w:rFonts w:hint="eastAsia" w:ascii="仿宋_GB2312" w:hAnsi="黑体" w:eastAsia="仿宋_GB2312" w:cstheme="minorEastAsia"/>
          <w:color w:val="auto"/>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03" w:name="_Toc6350"/>
      <w:bookmarkStart w:id="1204" w:name="_Toc14260"/>
      <w:bookmarkStart w:id="1205" w:name="_Toc14098"/>
      <w:bookmarkStart w:id="1206" w:name="_Toc16330025"/>
      <w:r>
        <w:rPr>
          <w:rFonts w:hint="eastAsia" w:ascii="黑体" w:hAnsi="黑体" w:eastAsia="黑体" w:cstheme="minorEastAsia"/>
          <w:b w:val="0"/>
          <w:color w:val="auto"/>
          <w:sz w:val="28"/>
          <w:szCs w:val="28"/>
        </w:rPr>
        <w:t>8 价款与支付</w:t>
      </w:r>
      <w:bookmarkEnd w:id="1203"/>
      <w:bookmarkEnd w:id="1204"/>
      <w:bookmarkEnd w:id="1205"/>
      <w:bookmarkEnd w:id="1206"/>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8.1本合同不含税总价为人民币</w:t>
      </w:r>
      <w:r>
        <w:rPr>
          <w:rFonts w:hint="eastAsia" w:ascii="仿宋_GB2312" w:eastAsia="仿宋_GB2312" w:cs="Calibri"/>
          <w:color w:val="auto"/>
          <w:sz w:val="24"/>
          <w:szCs w:val="24"/>
        </w:rPr>
        <w:t>¥</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元（大写：</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），增值税税率</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u w:val="single"/>
        </w:rPr>
        <w:t>【】</w:t>
      </w:r>
      <w:r>
        <w:rPr>
          <w:rFonts w:hint="eastAsia" w:ascii="仿宋_GB2312" w:hAnsi="黑体" w:eastAsia="仿宋_GB2312" w:cstheme="minorEastAsia"/>
          <w:color w:val="auto"/>
          <w:sz w:val="24"/>
          <w:szCs w:val="24"/>
        </w:rPr>
        <w:t>%，税额</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元，含税总价</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元人民币（大写：</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8.2合同价款的结算方式：半年期商业汇票（包括银行承兑汇票和商业承兑汇票）（如有其它方式可据实填写）</w:t>
      </w:r>
      <w:r>
        <w:rPr>
          <w:rFonts w:ascii="仿宋_GB2312" w:hAnsi="黑体" w:eastAsia="仿宋_GB2312" w:cstheme="minorEastAsia"/>
          <w:color w:val="auto"/>
          <w:sz w:val="24"/>
          <w:szCs w:val="24"/>
        </w:rPr>
        <w:t xml:space="preserve">  </w:t>
      </w:r>
      <w:r>
        <w:rPr>
          <w:rFonts w:hint="eastAsia" w:ascii="仿宋_GB2312" w:hAnsi="黑体" w:eastAsia="仿宋_GB2312" w:cstheme="minorEastAsia"/>
          <w:color w:val="auto"/>
          <w:sz w:val="24"/>
          <w:szCs w:val="24"/>
        </w:rPr>
        <w:t xml:space="preserve">         </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color w:val="auto"/>
          <w:sz w:val="24"/>
          <w:szCs w:val="24"/>
        </w:rPr>
      </w:pPr>
      <w:r>
        <w:rPr>
          <w:rFonts w:hint="eastAsia" w:ascii="仿宋_GB2312" w:hAnsi="黑体" w:eastAsia="仿宋_GB2312" w:cstheme="minorEastAsia"/>
          <w:color w:val="auto"/>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color w:val="auto"/>
          <w:sz w:val="24"/>
          <w:szCs w:val="24"/>
        </w:rPr>
        <w:t>【按照实际业务的</w:t>
      </w:r>
      <w:r>
        <w:rPr>
          <w:rFonts w:ascii="仿宋_GB2312" w:hAnsi="黑体" w:eastAsia="仿宋_GB2312" w:cstheme="minorEastAsia"/>
          <w:i/>
          <w:color w:val="auto"/>
          <w:sz w:val="24"/>
          <w:szCs w:val="24"/>
        </w:rPr>
        <w:t>SAP</w:t>
      </w:r>
      <w:r>
        <w:rPr>
          <w:rFonts w:hint="eastAsia" w:ascii="仿宋_GB2312" w:hAnsi="黑体" w:eastAsia="仿宋_GB2312" w:cstheme="minorEastAsia"/>
          <w:i/>
          <w:color w:val="auto"/>
          <w:sz w:val="24"/>
          <w:szCs w:val="24"/>
        </w:rPr>
        <w:t>付款条件填写】</w:t>
      </w:r>
    </w:p>
    <w:p>
      <w:pPr>
        <w:spacing w:line="360" w:lineRule="auto"/>
        <w:ind w:firstLine="453" w:firstLineChars="189"/>
        <w:rPr>
          <w:rFonts w:ascii="仿宋_GB2312" w:hAnsi="黑体" w:eastAsia="仿宋_GB2312" w:cstheme="minorEastAsia"/>
          <w:i/>
          <w:color w:val="auto"/>
          <w:sz w:val="24"/>
          <w:szCs w:val="24"/>
        </w:rPr>
      </w:pPr>
      <w:r>
        <w:rPr>
          <w:rFonts w:hint="eastAsia" w:ascii="仿宋_GB2312" w:hAnsi="黑体" w:eastAsia="仿宋_GB2312" w:cstheme="minorEastAsia"/>
          <w:color w:val="auto"/>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color w:val="auto"/>
          <w:sz w:val="24"/>
          <w:szCs w:val="24"/>
          <w:u w:val="single"/>
        </w:rPr>
        <w:t xml:space="preserve"> </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auto"/>
          <w:sz w:val="24"/>
          <w:szCs w:val="24"/>
        </w:rPr>
        <w:t>【按照实际业务的S</w:t>
      </w:r>
      <w:r>
        <w:rPr>
          <w:rFonts w:ascii="仿宋_GB2312" w:hAnsi="黑体" w:eastAsia="仿宋_GB2312" w:cstheme="minorEastAsia"/>
          <w:i/>
          <w:color w:val="auto"/>
          <w:sz w:val="24"/>
          <w:szCs w:val="24"/>
        </w:rPr>
        <w:t>AP</w:t>
      </w:r>
      <w:r>
        <w:rPr>
          <w:rFonts w:hint="eastAsia" w:ascii="仿宋_GB2312" w:hAnsi="黑体" w:eastAsia="仿宋_GB2312" w:cstheme="minorEastAsia"/>
          <w:i/>
          <w:color w:val="auto"/>
          <w:sz w:val="24"/>
          <w:szCs w:val="24"/>
        </w:rPr>
        <w:t>付款条件填写】</w:t>
      </w:r>
    </w:p>
    <w:p>
      <w:pPr>
        <w:spacing w:line="360" w:lineRule="auto"/>
        <w:ind w:firstLine="453" w:firstLineChars="189"/>
        <w:rPr>
          <w:rFonts w:ascii="仿宋_GB2312" w:hAnsi="黑体" w:eastAsia="仿宋_GB2312" w:cstheme="minorEastAsia"/>
          <w:i/>
          <w:color w:val="auto"/>
          <w:sz w:val="24"/>
          <w:szCs w:val="24"/>
        </w:rPr>
      </w:pPr>
      <w:bookmarkStart w:id="1207" w:name="_Toc14531628"/>
      <w:bookmarkStart w:id="1208" w:name="_Toc14676804"/>
      <w:r>
        <w:rPr>
          <w:rFonts w:hint="eastAsia" w:ascii="仿宋_GB2312" w:hAnsi="黑体" w:eastAsia="仿宋_GB2312" w:cstheme="minorEastAsia"/>
          <w:color w:val="auto"/>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auto"/>
          <w:sz w:val="24"/>
          <w:szCs w:val="24"/>
        </w:rPr>
        <w:t>【按照实际业务的S</w:t>
      </w:r>
      <w:r>
        <w:rPr>
          <w:rFonts w:ascii="仿宋_GB2312" w:hAnsi="黑体" w:eastAsia="仿宋_GB2312" w:cstheme="minorEastAsia"/>
          <w:i/>
          <w:color w:val="auto"/>
          <w:sz w:val="24"/>
          <w:szCs w:val="24"/>
        </w:rPr>
        <w:t>AP</w:t>
      </w:r>
      <w:r>
        <w:rPr>
          <w:rFonts w:hint="eastAsia" w:ascii="仿宋_GB2312" w:hAnsi="黑体" w:eastAsia="仿宋_GB2312" w:cstheme="minorEastAsia"/>
          <w:i/>
          <w:color w:val="auto"/>
          <w:sz w:val="24"/>
          <w:szCs w:val="24"/>
        </w:rPr>
        <w:t>付款条件填写】</w:t>
      </w:r>
      <w:r>
        <w:rPr>
          <w:rFonts w:hint="eastAsia" w:ascii="仿宋_GB2312" w:hAnsi="黑体" w:eastAsia="仿宋_GB2312" w:cstheme="minorEastAsia"/>
          <w:color w:val="auto"/>
          <w:sz w:val="24"/>
          <w:szCs w:val="24"/>
        </w:rPr>
        <w:t>如有质量问题，质量保证金予以相应扣除。</w:t>
      </w:r>
      <w:bookmarkEnd w:id="1207"/>
      <w:bookmarkEnd w:id="1208"/>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09" w:name="_Toc16330026"/>
      <w:bookmarkStart w:id="1210" w:name="_Toc25708"/>
      <w:bookmarkStart w:id="1211" w:name="_Toc24085"/>
      <w:bookmarkStart w:id="1212" w:name="_Toc6726"/>
      <w:r>
        <w:rPr>
          <w:rFonts w:hint="eastAsia" w:ascii="黑体" w:hAnsi="黑体" w:eastAsia="黑体" w:cstheme="minorEastAsia"/>
          <w:b w:val="0"/>
          <w:color w:val="auto"/>
          <w:sz w:val="28"/>
          <w:szCs w:val="28"/>
        </w:rPr>
        <w:t>9 质量保证及售后服务</w:t>
      </w:r>
      <w:bookmarkEnd w:id="1209"/>
      <w:bookmarkEnd w:id="1210"/>
      <w:bookmarkEnd w:id="1211"/>
      <w:bookmarkEnd w:id="1212"/>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9.4本合同约定设备的质量保证期：自最终验收报告签署之日（以签署日期最晚者为准）起</w:t>
      </w:r>
      <w:r>
        <w:rPr>
          <w:rFonts w:hint="eastAsia" w:ascii="仿宋_GB2312" w:hAnsi="黑体" w:eastAsia="仿宋_GB2312" w:cstheme="minorEastAsia"/>
          <w:color w:val="auto"/>
          <w:sz w:val="24"/>
          <w:szCs w:val="24"/>
          <w:u w:val="single"/>
        </w:rPr>
        <w:t xml:space="preserve"> </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年。</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13" w:name="_Toc10359"/>
      <w:bookmarkStart w:id="1214" w:name="_Toc15570"/>
      <w:bookmarkStart w:id="1215" w:name="_Toc16330027"/>
      <w:bookmarkStart w:id="1216" w:name="_Toc12927"/>
      <w:r>
        <w:rPr>
          <w:rFonts w:hint="eastAsia" w:ascii="黑体" w:hAnsi="黑体" w:eastAsia="黑体" w:cstheme="minorEastAsia"/>
          <w:b w:val="0"/>
          <w:color w:val="auto"/>
          <w:sz w:val="28"/>
          <w:szCs w:val="28"/>
        </w:rPr>
        <w:t>10法定责任</w:t>
      </w:r>
      <w:bookmarkEnd w:id="1213"/>
      <w:bookmarkEnd w:id="1214"/>
      <w:bookmarkEnd w:id="1215"/>
      <w:bookmarkEnd w:id="1216"/>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17" w:name="_Toc16330028"/>
      <w:bookmarkStart w:id="1218" w:name="_Toc9708"/>
      <w:bookmarkStart w:id="1219" w:name="_Toc27314"/>
      <w:bookmarkStart w:id="1220" w:name="_Toc30381"/>
      <w:r>
        <w:rPr>
          <w:rFonts w:hint="eastAsia" w:ascii="黑体" w:hAnsi="黑体" w:eastAsia="黑体" w:cstheme="minorEastAsia"/>
          <w:b w:val="0"/>
          <w:color w:val="auto"/>
          <w:sz w:val="28"/>
          <w:szCs w:val="28"/>
        </w:rPr>
        <w:t>11 违约责任</w:t>
      </w:r>
      <w:bookmarkEnd w:id="1217"/>
      <w:bookmarkEnd w:id="1218"/>
      <w:bookmarkEnd w:id="1219"/>
      <w:bookmarkEnd w:id="1220"/>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color w:val="auto"/>
          <w:sz w:val="24"/>
          <w:szCs w:val="24"/>
        </w:rPr>
        <w:t xml:space="preserve"> </w:t>
      </w:r>
      <w:r>
        <w:rPr>
          <w:rFonts w:hint="eastAsia" w:ascii="仿宋_GB2312" w:hAnsi="黑体" w:eastAsia="仿宋_GB2312" w:cstheme="minorEastAsia"/>
          <w:color w:val="auto"/>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w:t>
      </w:r>
      <w:r>
        <w:rPr>
          <w:rFonts w:ascii="仿宋_GB2312" w:hAnsi="黑体" w:eastAsia="仿宋_GB2312" w:cstheme="minorEastAsia"/>
          <w:color w:val="auto"/>
          <w:sz w:val="24"/>
          <w:szCs w:val="24"/>
        </w:rPr>
        <w:t>1.7</w:t>
      </w:r>
      <w:r>
        <w:rPr>
          <w:rFonts w:hint="eastAsia" w:ascii="仿宋_GB2312" w:hAnsi="黑体" w:eastAsia="仿宋_GB2312" w:cstheme="minorEastAsia"/>
          <w:color w:val="auto"/>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11.</w:t>
      </w:r>
      <w:r>
        <w:rPr>
          <w:rFonts w:ascii="仿宋_GB2312" w:hAnsi="黑体" w:eastAsia="仿宋_GB2312" w:cstheme="minorEastAsia"/>
          <w:color w:val="auto"/>
          <w:sz w:val="24"/>
          <w:szCs w:val="24"/>
        </w:rPr>
        <w:t>8</w:t>
      </w:r>
      <w:r>
        <w:rPr>
          <w:rFonts w:hint="eastAsia" w:ascii="仿宋_GB2312" w:hAnsi="黑体" w:eastAsia="仿宋_GB2312" w:cstheme="minorEastAsia"/>
          <w:color w:val="auto"/>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21" w:name="_Toc9172"/>
      <w:bookmarkStart w:id="1222" w:name="_Toc16330029"/>
      <w:bookmarkStart w:id="1223" w:name="_Toc1827"/>
      <w:bookmarkStart w:id="1224" w:name="_Toc31554"/>
      <w:r>
        <w:rPr>
          <w:rFonts w:hint="eastAsia" w:ascii="黑体" w:hAnsi="黑体" w:eastAsia="黑体" w:cstheme="minorEastAsia"/>
          <w:b w:val="0"/>
          <w:color w:val="auto"/>
          <w:sz w:val="28"/>
          <w:szCs w:val="28"/>
        </w:rPr>
        <w:t>12 合同的终止与解除</w:t>
      </w:r>
      <w:bookmarkEnd w:id="1221"/>
      <w:bookmarkEnd w:id="1222"/>
      <w:bookmarkEnd w:id="1223"/>
      <w:bookmarkEnd w:id="1224"/>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12.2经双方协商一致，可以解除本合同。</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12.3有下列情形之一的，买方可以解除本合同：</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12.3.1卖方明确表示或者以自己的行为表明不履行主要义务的；</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12.3.2卖方所提交的设备不符合本合同的规定；</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12.3.3卖方发生本合同约定的解除情形的；</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12.3.4卖方有其他违约行为。</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25" w:name="_Toc16330030"/>
      <w:bookmarkStart w:id="1226" w:name="_Toc31945"/>
      <w:bookmarkStart w:id="1227" w:name="_Toc13671"/>
      <w:bookmarkStart w:id="1228" w:name="_Toc8620"/>
      <w:r>
        <w:rPr>
          <w:rFonts w:hint="eastAsia" w:ascii="黑体" w:hAnsi="黑体" w:eastAsia="黑体" w:cstheme="minorEastAsia"/>
          <w:b w:val="0"/>
          <w:color w:val="auto"/>
          <w:sz w:val="28"/>
          <w:szCs w:val="28"/>
        </w:rPr>
        <w:t>13 不可抗力</w:t>
      </w:r>
      <w:bookmarkEnd w:id="1225"/>
      <w:bookmarkEnd w:id="1226"/>
      <w:bookmarkEnd w:id="1227"/>
      <w:bookmarkEnd w:id="122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29" w:name="_Toc31243"/>
      <w:bookmarkStart w:id="1230" w:name="_Toc637"/>
      <w:bookmarkStart w:id="1231" w:name="_Toc16330031"/>
      <w:bookmarkStart w:id="1232" w:name="_Toc30389"/>
      <w:r>
        <w:rPr>
          <w:rFonts w:hint="eastAsia" w:ascii="黑体" w:hAnsi="黑体" w:eastAsia="黑体" w:cstheme="minorEastAsia"/>
          <w:b w:val="0"/>
          <w:color w:val="auto"/>
          <w:sz w:val="28"/>
          <w:szCs w:val="28"/>
        </w:rPr>
        <w:t>14 通讯</w:t>
      </w:r>
      <w:bookmarkEnd w:id="1229"/>
      <w:bookmarkEnd w:id="1230"/>
      <w:bookmarkEnd w:id="1231"/>
      <w:bookmarkEnd w:id="1232"/>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14.1通讯地址：</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14.2生效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14.2.1书信。书信为送达时生效；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14.2.2传真。发送人取得成功传输的信息时生效；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color w:val="auto"/>
          <w:sz w:val="28"/>
          <w:szCs w:val="28"/>
        </w:rPr>
      </w:pPr>
      <w:bookmarkStart w:id="1233" w:name="_Toc16330032"/>
      <w:bookmarkStart w:id="1234" w:name="_Toc11290"/>
      <w:bookmarkStart w:id="1235" w:name="_Toc12984"/>
      <w:bookmarkStart w:id="1236" w:name="_Toc9915"/>
      <w:r>
        <w:rPr>
          <w:rFonts w:hint="eastAsia" w:ascii="黑体" w:hAnsi="黑体" w:eastAsia="黑体" w:cstheme="minorEastAsia"/>
          <w:b w:val="0"/>
          <w:color w:val="auto"/>
          <w:sz w:val="28"/>
          <w:szCs w:val="28"/>
        </w:rPr>
        <w:t>15 适用法律及争议解决</w:t>
      </w:r>
      <w:bookmarkEnd w:id="1233"/>
      <w:bookmarkEnd w:id="1234"/>
      <w:bookmarkEnd w:id="1235"/>
      <w:bookmarkEnd w:id="1236"/>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37" w:name="_Toc23906"/>
      <w:bookmarkStart w:id="1238" w:name="_Toc18207"/>
      <w:bookmarkStart w:id="1239" w:name="_Toc16330033"/>
      <w:bookmarkStart w:id="1240" w:name="_Toc23765"/>
      <w:r>
        <w:rPr>
          <w:rFonts w:hint="eastAsia" w:ascii="黑体" w:hAnsi="黑体" w:eastAsia="黑体" w:cstheme="minorEastAsia"/>
          <w:b w:val="0"/>
          <w:color w:val="auto"/>
          <w:sz w:val="28"/>
          <w:szCs w:val="28"/>
        </w:rPr>
        <w:t>16 附件</w:t>
      </w:r>
      <w:bookmarkEnd w:id="1237"/>
      <w:bookmarkEnd w:id="1238"/>
      <w:bookmarkEnd w:id="1239"/>
      <w:bookmarkEnd w:id="1240"/>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16.1技术协议书；</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16.2合同设备一览表；</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16.4招标文件。</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41" w:name="_Toc17656"/>
      <w:bookmarkStart w:id="1242" w:name="_Toc31331"/>
      <w:bookmarkStart w:id="1243" w:name="_Toc27202"/>
      <w:bookmarkStart w:id="1244" w:name="_Toc16330034"/>
      <w:r>
        <w:rPr>
          <w:rFonts w:hint="eastAsia" w:ascii="黑体" w:hAnsi="黑体" w:eastAsia="黑体" w:cstheme="minorEastAsia"/>
          <w:b w:val="0"/>
          <w:color w:val="auto"/>
          <w:sz w:val="28"/>
          <w:szCs w:val="28"/>
        </w:rPr>
        <w:t>17 其他规定</w:t>
      </w:r>
      <w:bookmarkEnd w:id="1241"/>
      <w:bookmarkEnd w:id="1242"/>
      <w:bookmarkEnd w:id="1243"/>
      <w:bookmarkEnd w:id="1244"/>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color w:val="auto"/>
          <w:sz w:val="24"/>
          <w:szCs w:val="24"/>
        </w:rPr>
      </w:pPr>
      <w:bookmarkStart w:id="1245" w:name="_Toc17952"/>
      <w:bookmarkStart w:id="1246" w:name="_Toc16330035"/>
      <w:bookmarkStart w:id="1247" w:name="_Toc29136"/>
      <w:bookmarkStart w:id="1248" w:name="_Toc19077"/>
      <w:r>
        <w:rPr>
          <w:rFonts w:hint="eastAsia" w:ascii="仿宋_GB2312" w:eastAsia="仿宋_GB2312" w:hAnsiTheme="minorEastAsia" w:cstheme="minorEastAsia"/>
          <w:color w:val="auto"/>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r>
        <w:rPr>
          <w:rFonts w:hint="eastAsia" w:ascii="黑体" w:hAnsi="黑体" w:eastAsia="黑体" w:cstheme="minorEastAsia"/>
          <w:b w:val="0"/>
          <w:color w:val="auto"/>
          <w:sz w:val="28"/>
          <w:szCs w:val="28"/>
        </w:rPr>
        <w:t>18 签署事项</w:t>
      </w:r>
      <w:bookmarkEnd w:id="1245"/>
      <w:bookmarkEnd w:id="1246"/>
      <w:bookmarkEnd w:id="1247"/>
      <w:bookmarkEnd w:id="124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本合同一式</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份，买方持</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份，卖方持</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份；本合同经双方签署后生效。</w:t>
      </w:r>
    </w:p>
    <w:p>
      <w:pPr>
        <w:spacing w:line="360" w:lineRule="auto"/>
        <w:ind w:firstLine="455" w:firstLineChars="189"/>
        <w:rPr>
          <w:rFonts w:ascii="仿宋_GB2312" w:eastAsia="仿宋_GB2312" w:hAnsiTheme="minorEastAsia" w:cstheme="minorEastAsia"/>
          <w:b/>
          <w:color w:val="auto"/>
          <w:sz w:val="24"/>
          <w:szCs w:val="24"/>
        </w:rPr>
      </w:pPr>
      <w:r>
        <w:rPr>
          <w:rFonts w:ascii="仿宋_GB2312" w:eastAsia="仿宋_GB2312" w:hAnsiTheme="minorEastAsia" w:cstheme="minorEastAsia"/>
          <w:b/>
          <w:color w:val="auto"/>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color w:val="auto"/>
          <w:sz w:val="24"/>
          <w:szCs w:val="24"/>
        </w:rPr>
      </w:pPr>
      <w:r>
        <w:rPr>
          <w:rFonts w:hint="eastAsia" w:ascii="仿宋_GB2312" w:eastAsia="仿宋_GB2312" w:hAnsiTheme="minorEastAsia" w:cstheme="minorEastAsia"/>
          <w:b/>
          <w:color w:val="auto"/>
          <w:sz w:val="24"/>
          <w:szCs w:val="24"/>
        </w:rPr>
        <w:t xml:space="preserve"> </w:t>
      </w:r>
      <w:r>
        <w:rPr>
          <w:rFonts w:ascii="仿宋_GB2312" w:eastAsia="仿宋_GB2312" w:hAnsiTheme="minorEastAsia" w:cstheme="minorEastAsia"/>
          <w:b/>
          <w:color w:val="auto"/>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（以下无正文）</w:t>
      </w:r>
    </w:p>
    <w:p>
      <w:pPr>
        <w:spacing w:line="360" w:lineRule="auto"/>
        <w:ind w:firstLine="420" w:firstLineChars="200"/>
        <w:rPr>
          <w:rFonts w:asciiTheme="minorEastAsia" w:hAnsiTheme="minorEastAsia" w:cstheme="minorEastAsia"/>
          <w:color w:val="auto"/>
          <w:sz w:val="20"/>
          <w:szCs w:val="20"/>
        </w:rPr>
      </w:pPr>
      <w:r>
        <w:rPr>
          <w:rFonts w:hint="eastAsia"/>
          <w:color w:val="auto"/>
        </w:rPr>
        <w:t xml:space="preserve">    </w:t>
      </w:r>
    </w:p>
    <w:p>
      <w:pPr>
        <w:spacing w:line="360" w:lineRule="auto"/>
        <w:rPr>
          <w:rFonts w:ascii="宋体" w:hAnsi="宋体"/>
          <w:snapToGrid w:val="0"/>
          <w:color w:val="auto"/>
          <w:kern w:val="0"/>
          <w:sz w:val="20"/>
          <w:szCs w:val="20"/>
          <w:lang w:eastAsia="zh-Hans"/>
        </w:rPr>
      </w:pP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甲方</w:t>
      </w:r>
      <w:r>
        <w:rPr>
          <w:rFonts w:hint="eastAsia" w:ascii="仿宋_GB2312" w:hAnsi="宋体" w:eastAsia="仿宋_GB2312"/>
          <w:snapToGrid w:val="0"/>
          <w:color w:val="auto"/>
          <w:kern w:val="0"/>
          <w:sz w:val="24"/>
          <w:szCs w:val="24"/>
        </w:rPr>
        <w:t>（盖章）</w:t>
      </w:r>
      <w:r>
        <w:rPr>
          <w:rFonts w:hint="eastAsia" w:ascii="仿宋_GB2312" w:hAnsi="宋体" w:eastAsia="仿宋_GB2312"/>
          <w:snapToGrid w:val="0"/>
          <w:color w:val="auto"/>
          <w:kern w:val="0"/>
          <w:sz w:val="24"/>
          <w:szCs w:val="24"/>
          <w:lang w:eastAsia="zh-Hans"/>
        </w:rPr>
        <w:t xml:space="preserve">：                    </w:t>
      </w:r>
      <w:r>
        <w:rPr>
          <w:rFonts w:hint="eastAsia" w:ascii="仿宋_GB2312" w:hAnsi="宋体" w:eastAsia="仿宋_GB2312"/>
          <w:snapToGrid w:val="0"/>
          <w:color w:val="auto"/>
          <w:kern w:val="0"/>
          <w:sz w:val="24"/>
          <w:szCs w:val="24"/>
        </w:rPr>
        <w:t xml:space="preserve">           </w:t>
      </w:r>
      <w:r>
        <w:rPr>
          <w:rFonts w:hint="eastAsia" w:ascii="仿宋_GB2312" w:hAnsi="宋体" w:eastAsia="仿宋_GB2312"/>
          <w:snapToGrid w:val="0"/>
          <w:color w:val="auto"/>
          <w:kern w:val="0"/>
          <w:sz w:val="24"/>
          <w:szCs w:val="24"/>
          <w:lang w:eastAsia="zh-Hans"/>
        </w:rPr>
        <w:t>乙方</w:t>
      </w:r>
      <w:r>
        <w:rPr>
          <w:rFonts w:hint="eastAsia" w:ascii="仿宋_GB2312" w:hAnsi="宋体" w:eastAsia="仿宋_GB2312"/>
          <w:snapToGrid w:val="0"/>
          <w:color w:val="auto"/>
          <w:kern w:val="0"/>
          <w:sz w:val="24"/>
          <w:szCs w:val="24"/>
        </w:rPr>
        <w:t>（盖章）</w:t>
      </w:r>
      <w:r>
        <w:rPr>
          <w:rFonts w:hint="eastAsia" w:ascii="仿宋_GB2312" w:hAnsi="宋体" w:eastAsia="仿宋_GB2312"/>
          <w:snapToGrid w:val="0"/>
          <w:color w:val="auto"/>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法定代表人或代理人（签字）：                 法定代表人或代理人（签字）：</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地  址：                                     地  址： </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开户银行：                                   开户银行：   </w:t>
      </w:r>
    </w:p>
    <w:p>
      <w:pPr>
        <w:widowControl/>
        <w:adjustRightInd w:val="0"/>
        <w:snapToGrid w:val="0"/>
        <w:spacing w:line="360" w:lineRule="auto"/>
        <w:jc w:val="left"/>
        <w:rPr>
          <w:rFonts w:ascii="仿宋_GB2312" w:hAnsi="宋体" w:eastAsia="仿宋_GB2312"/>
          <w:snapToGrid w:val="0"/>
          <w:color w:val="auto"/>
          <w:kern w:val="0"/>
          <w:sz w:val="24"/>
          <w:szCs w:val="24"/>
        </w:rPr>
      </w:pPr>
      <w:r>
        <w:rPr>
          <w:rFonts w:hint="eastAsia" w:ascii="仿宋_GB2312" w:hAnsi="宋体" w:eastAsia="仿宋_GB2312"/>
          <w:snapToGrid w:val="0"/>
          <w:color w:val="auto"/>
          <w:kern w:val="0"/>
          <w:sz w:val="24"/>
          <w:szCs w:val="24"/>
          <w:lang w:eastAsia="zh-Hans"/>
        </w:rPr>
        <w:t xml:space="preserve">账  号：                                     账 号： </w:t>
      </w:r>
    </w:p>
    <w:p>
      <w:pPr>
        <w:spacing w:line="360" w:lineRule="auto"/>
        <w:rPr>
          <w:rFonts w:ascii="仿宋_GB2312" w:eastAsia="仿宋_GB2312"/>
          <w:color w:val="auto"/>
          <w:sz w:val="24"/>
          <w:szCs w:val="24"/>
        </w:rPr>
      </w:pPr>
    </w:p>
    <w:p>
      <w:pPr>
        <w:pStyle w:val="3"/>
        <w:tabs>
          <w:tab w:val="right" w:leader="dot" w:pos="9061"/>
        </w:tabs>
        <w:rPr>
          <w:rFonts w:ascii="黑体" w:hAnsi="黑体" w:eastAsia="黑体" w:cstheme="minorEastAsia"/>
          <w:b w:val="0"/>
          <w:color w:val="auto"/>
          <w:sz w:val="28"/>
          <w:szCs w:val="28"/>
        </w:rPr>
      </w:pPr>
      <w:r>
        <w:rPr>
          <w:rFonts w:hint="eastAsia" w:ascii="黑体" w:hAnsi="黑体" w:eastAsia="黑体" w:cstheme="minorEastAsia"/>
          <w:b w:val="0"/>
          <w:color w:val="auto"/>
          <w:sz w:val="28"/>
          <w:szCs w:val="28"/>
        </w:rPr>
        <w:t>附件一：设备清单明细表</w:t>
      </w:r>
    </w:p>
    <w:p>
      <w:pPr>
        <w:rPr>
          <w:color w:val="auto"/>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规格型号及</w:t>
            </w:r>
          </w:p>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spacing w:line="360" w:lineRule="auto"/>
              <w:jc w:val="center"/>
              <w:rPr>
                <w:rFonts w:ascii="仿宋_GB2312" w:eastAsia="仿宋_GB2312" w:hAnsiTheme="minorEastAsia" w:cstheme="minorEastAsia"/>
                <w:color w:val="auto"/>
                <w:sz w:val="24"/>
                <w:szCs w:val="24"/>
              </w:rPr>
            </w:pPr>
          </w:p>
        </w:tc>
        <w:tc>
          <w:tcPr>
            <w:tcW w:w="708" w:type="dxa"/>
            <w:vAlign w:val="center"/>
          </w:tcPr>
          <w:p>
            <w:pPr>
              <w:spacing w:line="360" w:lineRule="auto"/>
              <w:jc w:val="center"/>
              <w:rPr>
                <w:rFonts w:ascii="仿宋_GB2312" w:eastAsia="仿宋_GB2312" w:hAnsiTheme="minorEastAsia" w:cstheme="minorEastAsia"/>
                <w:color w:val="auto"/>
                <w:sz w:val="24"/>
                <w:szCs w:val="24"/>
              </w:rPr>
            </w:pPr>
          </w:p>
        </w:tc>
        <w:tc>
          <w:tcPr>
            <w:tcW w:w="708" w:type="dxa"/>
            <w:vAlign w:val="center"/>
          </w:tcPr>
          <w:p>
            <w:pPr>
              <w:spacing w:line="360" w:lineRule="auto"/>
              <w:jc w:val="center"/>
              <w:rPr>
                <w:rFonts w:ascii="仿宋_GB2312" w:eastAsia="仿宋_GB2312" w:hAnsiTheme="minorEastAsia" w:cstheme="minorEastAsia"/>
                <w:color w:val="auto"/>
                <w:sz w:val="24"/>
                <w:szCs w:val="24"/>
              </w:rPr>
            </w:pPr>
          </w:p>
        </w:tc>
      </w:tr>
    </w:tbl>
    <w:p>
      <w:pPr>
        <w:rPr>
          <w:rFonts w:asciiTheme="minorEastAsia" w:hAnsiTheme="minorEastAsia" w:cstheme="minorEastAsia"/>
          <w:color w:val="auto"/>
          <w:sz w:val="20"/>
          <w:szCs w:val="20"/>
        </w:rPr>
      </w:pPr>
      <w:bookmarkStart w:id="1249" w:name="_Toc16330037"/>
      <w:bookmarkStart w:id="1250" w:name="_Toc25120"/>
      <w:bookmarkStart w:id="1251" w:name="_Toc3778"/>
      <w:bookmarkStart w:id="1252" w:name="_Toc5379"/>
      <w:bookmarkStart w:id="1253" w:name="_Toc24623"/>
      <w:r>
        <w:rPr>
          <w:rFonts w:hint="eastAsia" w:asciiTheme="minorEastAsia" w:hAnsiTheme="minorEastAsia" w:cstheme="minorEastAsia"/>
          <w:color w:val="auto"/>
          <w:sz w:val="20"/>
          <w:szCs w:val="20"/>
        </w:rPr>
        <w:br w:type="page"/>
      </w:r>
    </w:p>
    <w:p>
      <w:pPr>
        <w:pStyle w:val="3"/>
        <w:tabs>
          <w:tab w:val="right" w:leader="dot" w:pos="9061"/>
        </w:tabs>
        <w:rPr>
          <w:rFonts w:ascii="黑体" w:hAnsi="黑体" w:eastAsia="黑体" w:cstheme="minorEastAsia"/>
          <w:b w:val="0"/>
          <w:i/>
          <w:color w:val="auto"/>
          <w:sz w:val="28"/>
          <w:szCs w:val="28"/>
        </w:rPr>
      </w:pPr>
      <w:r>
        <w:rPr>
          <w:rFonts w:hint="eastAsia" w:ascii="黑体" w:hAnsi="黑体" w:eastAsia="黑体" w:cstheme="minorEastAsia"/>
          <w:b w:val="0"/>
          <w:color w:val="auto"/>
          <w:sz w:val="28"/>
          <w:szCs w:val="28"/>
        </w:rPr>
        <w:t xml:space="preserve">附件二 </w:t>
      </w:r>
      <w:bookmarkEnd w:id="1249"/>
      <w:bookmarkEnd w:id="1250"/>
      <w:bookmarkEnd w:id="1251"/>
      <w:bookmarkEnd w:id="1252"/>
      <w:bookmarkEnd w:id="1253"/>
      <w:r>
        <w:rPr>
          <w:rFonts w:hint="eastAsia" w:ascii="黑体" w:hAnsi="黑体" w:eastAsia="黑体" w:cstheme="minorEastAsia"/>
          <w:b w:val="0"/>
          <w:color w:val="auto"/>
          <w:sz w:val="28"/>
          <w:szCs w:val="28"/>
        </w:rPr>
        <w:t>技术协议书</w:t>
      </w:r>
    </w:p>
    <w:p>
      <w:pPr>
        <w:ind w:right="360"/>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r>
        <w:rPr>
          <w:rFonts w:hint="eastAsia" w:asciiTheme="minorEastAsia" w:hAnsiTheme="minorEastAsia" w:cstheme="minorEastAsia"/>
          <w:color w:val="auto"/>
          <w:sz w:val="20"/>
          <w:szCs w:val="20"/>
        </w:rPr>
        <w:t xml:space="preserve">                                      </w:t>
      </w:r>
    </w:p>
    <w:p>
      <w:pPr>
        <w:jc w:val="right"/>
        <w:rPr>
          <w:rFonts w:asciiTheme="minorEastAsia" w:hAnsiTheme="minorEastAsia" w:cstheme="minorEastAsia"/>
          <w:color w:val="auto"/>
          <w:sz w:val="20"/>
          <w:szCs w:val="20"/>
        </w:rPr>
      </w:pPr>
    </w:p>
    <w:p>
      <w:pPr>
        <w:wordWrap w:val="0"/>
        <w:ind w:right="480"/>
        <w:rPr>
          <w:rFonts w:asciiTheme="minorEastAsia" w:hAnsiTheme="minorEastAsia" w:cstheme="minorEastAsia"/>
          <w:color w:val="auto"/>
          <w:sz w:val="20"/>
          <w:szCs w:val="20"/>
        </w:rPr>
      </w:pPr>
    </w:p>
    <w:p>
      <w:pPr>
        <w:jc w:val="right"/>
        <w:rPr>
          <w:rFonts w:ascii="楷体_GB2312" w:hAnsi="宋体" w:eastAsia="楷体_GB2312"/>
          <w:color w:val="auto"/>
          <w:sz w:val="24"/>
        </w:rPr>
      </w:pPr>
      <w:bookmarkStart w:id="1254" w:name="_Toc14341849"/>
    </w:p>
    <w:p>
      <w:pPr>
        <w:ind w:right="480"/>
        <w:jc w:val="center"/>
        <w:rPr>
          <w:color w:val="auto"/>
          <w:sz w:val="24"/>
          <w:szCs w:val="24"/>
        </w:rPr>
      </w:pPr>
      <w:r>
        <w:rPr>
          <w:rFonts w:hint="eastAsia" w:ascii="楷体_GB2312" w:hAnsi="宋体" w:eastAsia="楷体_GB2312"/>
          <w:color w:val="auto"/>
          <w:sz w:val="24"/>
        </w:rPr>
        <w:t xml:space="preserve">                                    </w:t>
      </w:r>
    </w:p>
    <w:bookmarkEnd w:id="1254"/>
    <w:p>
      <w:pPr>
        <w:rPr>
          <w:rFonts w:ascii="方正小标宋简体" w:hAnsi="方正小标宋简体" w:eastAsia="方正小标宋简体" w:cs="方正小标宋简体"/>
          <w:color w:val="auto"/>
          <w:sz w:val="40"/>
          <w:szCs w:val="21"/>
        </w:rPr>
      </w:pPr>
      <w:r>
        <w:rPr>
          <w:rFonts w:hint="eastAsia" w:ascii="方正小标宋简体" w:hAnsi="方正小标宋简体" w:eastAsia="方正小标宋简体" w:cs="方正小标宋简体"/>
          <w:color w:val="auto"/>
          <w:sz w:val="40"/>
          <w:szCs w:val="21"/>
        </w:rPr>
        <w:br w:type="page"/>
      </w:r>
    </w:p>
    <w:p>
      <w:pPr>
        <w:spacing w:before="118"/>
        <w:ind w:right="30"/>
        <w:jc w:val="center"/>
        <w:outlineLvl w:val="0"/>
        <w:rPr>
          <w:rFonts w:ascii="楷体" w:hAnsi="楷体" w:eastAsia="楷体" w:cs="楷体"/>
          <w:color w:val="auto"/>
          <w:sz w:val="40"/>
          <w:szCs w:val="21"/>
        </w:rPr>
      </w:pPr>
      <w:r>
        <w:rPr>
          <w:rFonts w:hint="eastAsia" w:ascii="方正小标宋简体" w:hAnsi="方正小标宋简体" w:eastAsia="方正小标宋简体" w:cs="方正小标宋简体"/>
          <w:color w:val="auto"/>
          <w:sz w:val="40"/>
          <w:szCs w:val="21"/>
        </w:rPr>
        <w:t>廉洁诚信协议</w:t>
      </w:r>
    </w:p>
    <w:p>
      <w:pPr>
        <w:pStyle w:val="11"/>
        <w:spacing w:before="8" w:after="156"/>
        <w:rPr>
          <w:rFonts w:ascii="楷体" w:hAnsi="楷体" w:eastAsia="楷体" w:cs="楷体"/>
          <w:color w:val="auto"/>
          <w:sz w:val="44"/>
          <w:szCs w:val="28"/>
        </w:rPr>
      </w:pPr>
    </w:p>
    <w:p>
      <w:pPr>
        <w:spacing w:line="607" w:lineRule="auto"/>
        <w:ind w:left="117" w:right="3769"/>
        <w:rPr>
          <w:rFonts w:ascii="楷体" w:hAnsi="楷体" w:eastAsia="楷体" w:cs="楷体"/>
          <w:b/>
          <w:color w:val="auto"/>
          <w:sz w:val="28"/>
          <w:szCs w:val="21"/>
        </w:rPr>
      </w:pPr>
      <w:r>
        <w:rPr>
          <w:rFonts w:hint="eastAsia" w:ascii="楷体" w:hAnsi="楷体" w:eastAsia="楷体" w:cs="楷体"/>
          <w:b/>
          <w:color w:val="auto"/>
          <w:sz w:val="28"/>
          <w:szCs w:val="21"/>
        </w:rPr>
        <w:t>甲方：</w:t>
      </w:r>
    </w:p>
    <w:p>
      <w:pPr>
        <w:spacing w:line="607" w:lineRule="auto"/>
        <w:ind w:left="117" w:right="3769"/>
        <w:rPr>
          <w:rFonts w:ascii="楷体" w:hAnsi="楷体" w:eastAsia="楷体" w:cs="楷体"/>
          <w:b/>
          <w:color w:val="auto"/>
          <w:sz w:val="28"/>
          <w:szCs w:val="21"/>
        </w:rPr>
      </w:pPr>
      <w:r>
        <w:rPr>
          <w:rFonts w:hint="eastAsia" w:ascii="楷体" w:hAnsi="楷体" w:eastAsia="楷体" w:cs="楷体"/>
          <w:b/>
          <w:color w:val="auto"/>
          <w:sz w:val="28"/>
          <w:szCs w:val="21"/>
        </w:rPr>
        <w:t>乙方：</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color w:val="auto"/>
          <w:spacing w:val="-2"/>
          <w:sz w:val="28"/>
          <w:szCs w:val="28"/>
        </w:rPr>
        <w:t>,共同加强廉洁自律建设，甲乙双方在平等、自愿、协商一致的原则下，签订本协议。</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2.乙方声明并承诺甲方人员或其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和其他特定关系人（甲方人员为领导干部的，其他特定关系人包含身边工作人员）</w:t>
      </w:r>
      <w:r>
        <w:rPr>
          <w:rFonts w:ascii="楷体" w:hAnsi="楷体" w:eastAsia="楷体" w:cs="楷体"/>
          <w:color w:val="auto"/>
          <w:spacing w:val="-2"/>
          <w:sz w:val="28"/>
          <w:szCs w:val="28"/>
        </w:rPr>
        <w:t>没有直接或间接投资乙方或持有乙方股权，没有直接或间接投资乙方关联企业或持有乙方关联企业股权。</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3.乙方承诺乙方或乙方关联企业股东、实际出资人或持股人、高管、主要业务人员不得与甲方人员或其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w:t>
      </w:r>
      <w:r>
        <w:rPr>
          <w:rFonts w:ascii="楷体" w:hAnsi="楷体" w:eastAsia="楷体" w:cs="楷体"/>
          <w:color w:val="auto"/>
          <w:spacing w:val="-2"/>
          <w:sz w:val="28"/>
          <w:szCs w:val="28"/>
        </w:rPr>
        <w:t>共同成立公司，不得聘请甲方人员或其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w:t>
      </w:r>
      <w:r>
        <w:rPr>
          <w:rFonts w:ascii="楷体" w:hAnsi="楷体" w:eastAsia="楷体" w:cs="楷体"/>
          <w:color w:val="auto"/>
          <w:spacing w:val="-2"/>
          <w:sz w:val="28"/>
          <w:szCs w:val="28"/>
        </w:rPr>
        <w:t>在乙方或乙方关联企业股东或实际出资人或高管或主要业务人员成立的企业中担任高管或为其</w:t>
      </w:r>
      <w:r>
        <w:rPr>
          <w:rFonts w:hint="eastAsia" w:ascii="楷体" w:hAnsi="楷体" w:eastAsia="楷体" w:cs="楷体"/>
          <w:color w:val="auto"/>
          <w:spacing w:val="-2"/>
          <w:sz w:val="28"/>
          <w:szCs w:val="28"/>
        </w:rPr>
        <w:t>违规</w:t>
      </w:r>
      <w:r>
        <w:rPr>
          <w:rFonts w:ascii="楷体" w:hAnsi="楷体" w:eastAsia="楷体" w:cs="楷体"/>
          <w:color w:val="auto"/>
          <w:spacing w:val="-2"/>
          <w:sz w:val="28"/>
          <w:szCs w:val="28"/>
        </w:rPr>
        <w:t>发放薪酬。</w:t>
      </w:r>
      <w:r>
        <w:rPr>
          <w:rFonts w:hint="eastAsia" w:ascii="楷体" w:hAnsi="楷体" w:eastAsia="楷体" w:cs="楷体"/>
          <w:color w:val="auto"/>
          <w:spacing w:val="-2"/>
          <w:sz w:val="28"/>
          <w:szCs w:val="28"/>
        </w:rPr>
        <w:t>违规发放薪酬包括不实际工作而获取薪酬或者虽实际工作但领取明显超出同职级标准薪酬。</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若乙方为甲方</w:t>
      </w:r>
      <w:r>
        <w:rPr>
          <w:rFonts w:ascii="楷体" w:hAnsi="楷体" w:eastAsia="楷体" w:cs="楷体"/>
          <w:color w:val="auto"/>
          <w:spacing w:val="-2"/>
          <w:sz w:val="28"/>
          <w:szCs w:val="28"/>
        </w:rPr>
        <w:t>新</w:t>
      </w:r>
      <w:r>
        <w:rPr>
          <w:rFonts w:hint="eastAsia" w:ascii="楷体" w:hAnsi="楷体" w:eastAsia="楷体" w:cs="楷体"/>
          <w:color w:val="auto"/>
          <w:spacing w:val="-2"/>
          <w:sz w:val="28"/>
          <w:szCs w:val="28"/>
        </w:rPr>
        <w:t>合作伙伴</w:t>
      </w:r>
      <w:r>
        <w:rPr>
          <w:rFonts w:ascii="楷体" w:hAnsi="楷体" w:eastAsia="楷体" w:cs="楷体"/>
          <w:color w:val="auto"/>
          <w:spacing w:val="-2"/>
          <w:sz w:val="28"/>
          <w:szCs w:val="28"/>
        </w:rPr>
        <w:t>，如在本协议签订前乙方存在本条规定情形的，需在本协议签订后30日内，将相关情况报</w:t>
      </w:r>
      <w:r>
        <w:rPr>
          <w:rFonts w:hint="eastAsia" w:ascii="楷体" w:hAnsi="楷体" w:eastAsia="楷体" w:cs="楷体"/>
          <w:color w:val="auto"/>
          <w:spacing w:val="-2"/>
          <w:sz w:val="28"/>
          <w:szCs w:val="28"/>
        </w:rPr>
        <w:t>甲方所属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w:t>
      </w:r>
      <w:r>
        <w:rPr>
          <w:rFonts w:hint="eastAsia" w:ascii="楷体" w:hAnsi="楷体" w:eastAsia="楷体" w:cs="楷体"/>
          <w:color w:val="auto"/>
          <w:spacing w:val="-2"/>
          <w:sz w:val="28"/>
          <w:szCs w:val="28"/>
        </w:rPr>
        <w:t>门</w:t>
      </w:r>
      <w:r>
        <w:rPr>
          <w:rFonts w:ascii="楷体" w:hAnsi="楷体" w:eastAsia="楷体" w:cs="楷体"/>
          <w:color w:val="auto"/>
          <w:spacing w:val="-2"/>
          <w:sz w:val="28"/>
          <w:szCs w:val="28"/>
        </w:rPr>
        <w:t>备案）。</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4.乙方承诺依法开展经营活动，不得有任何形式的商业贿赂行为。乙方一经发现其员工或其</w:t>
      </w:r>
      <w:r>
        <w:rPr>
          <w:rFonts w:hint="eastAsia" w:ascii="楷体" w:hAnsi="楷体" w:eastAsia="楷体" w:cs="楷体"/>
          <w:color w:val="auto"/>
          <w:spacing w:val="-2"/>
          <w:sz w:val="28"/>
          <w:szCs w:val="28"/>
        </w:rPr>
        <w:t>配偶、子女及其配偶等亲属和其他特定关系人</w:t>
      </w:r>
      <w:r>
        <w:rPr>
          <w:rFonts w:ascii="楷体" w:hAnsi="楷体" w:eastAsia="楷体" w:cs="楷体"/>
          <w:color w:val="auto"/>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color w:val="auto"/>
          <w:spacing w:val="-2"/>
          <w:sz w:val="28"/>
          <w:szCs w:val="28"/>
        </w:rPr>
        <w:t>已</w:t>
      </w:r>
      <w:r>
        <w:rPr>
          <w:rFonts w:ascii="楷体" w:hAnsi="楷体" w:eastAsia="楷体" w:cs="楷体"/>
          <w:color w:val="auto"/>
          <w:spacing w:val="-2"/>
          <w:sz w:val="28"/>
          <w:szCs w:val="28"/>
        </w:rPr>
        <w:t>签订的</w:t>
      </w:r>
      <w:r>
        <w:rPr>
          <w:rFonts w:hint="eastAsia" w:ascii="楷体" w:hAnsi="楷体" w:eastAsia="楷体" w:cs="楷体"/>
          <w:color w:val="auto"/>
          <w:spacing w:val="-2"/>
          <w:sz w:val="28"/>
          <w:szCs w:val="28"/>
        </w:rPr>
        <w:t>所有合同</w:t>
      </w:r>
      <w:r>
        <w:rPr>
          <w:rFonts w:ascii="楷体" w:hAnsi="楷体" w:eastAsia="楷体" w:cs="楷体"/>
          <w:color w:val="auto"/>
          <w:spacing w:val="-2"/>
          <w:sz w:val="28"/>
          <w:szCs w:val="28"/>
        </w:rPr>
        <w:t>协议，并要求乙方赔偿。</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5.乙方承诺不以任何理由为甲方人员及其</w:t>
      </w:r>
      <w:r>
        <w:rPr>
          <w:rFonts w:hint="eastAsia" w:ascii="楷体" w:hAnsi="楷体" w:eastAsia="楷体" w:cs="楷体"/>
          <w:color w:val="auto"/>
          <w:spacing w:val="-2"/>
          <w:sz w:val="28"/>
          <w:szCs w:val="28"/>
        </w:rPr>
        <w:t>配偶、子女及其配偶等亲属和其他特定关系人提供如下：</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a)</w:t>
      </w:r>
      <w:r>
        <w:rPr>
          <w:rFonts w:ascii="楷体" w:hAnsi="楷体" w:eastAsia="楷体" w:cs="楷体"/>
          <w:color w:val="auto"/>
          <w:spacing w:val="-2"/>
          <w:sz w:val="28"/>
          <w:szCs w:val="28"/>
        </w:rPr>
        <w:t>赠送</w:t>
      </w:r>
      <w:r>
        <w:rPr>
          <w:rFonts w:hint="eastAsia" w:ascii="楷体" w:hAnsi="楷体" w:eastAsia="楷体" w:cs="楷体"/>
          <w:color w:val="auto"/>
          <w:spacing w:val="-2"/>
          <w:sz w:val="28"/>
          <w:szCs w:val="28"/>
        </w:rPr>
        <w:t>礼品、</w:t>
      </w:r>
      <w:r>
        <w:rPr>
          <w:rFonts w:ascii="楷体" w:hAnsi="楷体" w:eastAsia="楷体" w:cs="楷体"/>
          <w:color w:val="auto"/>
          <w:spacing w:val="-2"/>
          <w:sz w:val="28"/>
          <w:szCs w:val="28"/>
        </w:rPr>
        <w:t>礼金、</w:t>
      </w:r>
      <w:r>
        <w:rPr>
          <w:rFonts w:hint="eastAsia" w:ascii="楷体" w:hAnsi="楷体" w:eastAsia="楷体" w:cs="楷体"/>
          <w:color w:val="auto"/>
          <w:spacing w:val="-2"/>
          <w:sz w:val="28"/>
          <w:szCs w:val="28"/>
        </w:rPr>
        <w:t>消费卡（券）、</w:t>
      </w:r>
      <w:r>
        <w:rPr>
          <w:rFonts w:ascii="楷体" w:hAnsi="楷体" w:eastAsia="楷体" w:cs="楷体"/>
          <w:color w:val="auto"/>
          <w:spacing w:val="-2"/>
          <w:sz w:val="28"/>
          <w:szCs w:val="28"/>
        </w:rPr>
        <w:t>购物卡、充值卡、信用卡</w:t>
      </w:r>
      <w:r>
        <w:rPr>
          <w:rFonts w:hint="eastAsia" w:ascii="楷体" w:hAnsi="楷体" w:eastAsia="楷体" w:cs="楷体"/>
          <w:color w:val="auto"/>
          <w:spacing w:val="-2"/>
          <w:sz w:val="28"/>
          <w:szCs w:val="28"/>
        </w:rPr>
        <w:t>和</w:t>
      </w:r>
      <w:r>
        <w:rPr>
          <w:rFonts w:ascii="楷体" w:hAnsi="楷体" w:eastAsia="楷体" w:cs="楷体"/>
          <w:color w:val="auto"/>
          <w:spacing w:val="-2"/>
          <w:sz w:val="28"/>
          <w:szCs w:val="28"/>
        </w:rPr>
        <w:t>有价证券</w:t>
      </w:r>
      <w:r>
        <w:rPr>
          <w:rFonts w:hint="eastAsia" w:ascii="楷体" w:hAnsi="楷体" w:eastAsia="楷体" w:cs="楷体"/>
          <w:color w:val="auto"/>
          <w:spacing w:val="-2"/>
          <w:sz w:val="28"/>
          <w:szCs w:val="28"/>
        </w:rPr>
        <w:t>、股权、其他金融产品等财物</w:t>
      </w:r>
      <w:r>
        <w:rPr>
          <w:rFonts w:ascii="楷体" w:hAnsi="楷体" w:eastAsia="楷体" w:cs="楷体"/>
          <w:color w:val="auto"/>
          <w:spacing w:val="-2"/>
          <w:sz w:val="28"/>
          <w:szCs w:val="28"/>
        </w:rPr>
        <w:t>和其他贵重物品；</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b)</w:t>
      </w:r>
      <w:r>
        <w:rPr>
          <w:rFonts w:ascii="楷体" w:hAnsi="楷体" w:eastAsia="楷体" w:cs="楷体"/>
          <w:color w:val="auto"/>
          <w:spacing w:val="-2"/>
          <w:sz w:val="28"/>
          <w:szCs w:val="28"/>
        </w:rPr>
        <w:t>报销个人费用</w:t>
      </w:r>
      <w:r>
        <w:rPr>
          <w:rFonts w:hint="eastAsia" w:ascii="楷体" w:hAnsi="楷体" w:eastAsia="楷体" w:cs="楷体"/>
          <w:color w:val="auto"/>
          <w:spacing w:val="-2"/>
          <w:sz w:val="28"/>
          <w:szCs w:val="28"/>
        </w:rPr>
        <w:t>或以讲课费、课题费、咨询费等名义支付费用</w:t>
      </w:r>
      <w:r>
        <w:rPr>
          <w:rFonts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c)</w:t>
      </w:r>
      <w:r>
        <w:rPr>
          <w:rFonts w:ascii="楷体" w:hAnsi="楷体" w:eastAsia="楷体" w:cs="楷体"/>
          <w:color w:val="auto"/>
          <w:spacing w:val="-2"/>
          <w:sz w:val="28"/>
          <w:szCs w:val="28"/>
        </w:rPr>
        <w:t>以洽谈业务、签订合同等为借口宴请或邀请外出旅游</w:t>
      </w:r>
      <w:r>
        <w:rPr>
          <w:rFonts w:hint="eastAsia" w:ascii="楷体" w:hAnsi="楷体" w:eastAsia="楷体" w:cs="楷体"/>
          <w:color w:val="auto"/>
          <w:spacing w:val="-2"/>
          <w:sz w:val="28"/>
          <w:szCs w:val="28"/>
        </w:rPr>
        <w:t>、健身、娱乐</w:t>
      </w:r>
      <w:r>
        <w:rPr>
          <w:rFonts w:ascii="楷体" w:hAnsi="楷体" w:eastAsia="楷体" w:cs="楷体"/>
          <w:color w:val="auto"/>
          <w:spacing w:val="-2"/>
          <w:sz w:val="28"/>
          <w:szCs w:val="28"/>
        </w:rPr>
        <w:t>和进入营业性娱乐场所；</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d)</w:t>
      </w:r>
      <w:r>
        <w:rPr>
          <w:rFonts w:ascii="楷体" w:hAnsi="楷体" w:eastAsia="楷体" w:cs="楷体"/>
          <w:color w:val="auto"/>
          <w:spacing w:val="-2"/>
          <w:sz w:val="28"/>
          <w:szCs w:val="28"/>
        </w:rPr>
        <w:t>购置或提供通讯、交通工具</w:t>
      </w:r>
      <w:r>
        <w:rPr>
          <w:rFonts w:hint="eastAsia" w:ascii="楷体" w:hAnsi="楷体" w:eastAsia="楷体" w:cs="楷体"/>
          <w:color w:val="auto"/>
          <w:spacing w:val="-2"/>
          <w:sz w:val="28"/>
          <w:szCs w:val="28"/>
        </w:rPr>
        <w:t>、钱款、住房、车辆等或提供通过民间借贷等金融助其获得大额回报</w:t>
      </w:r>
      <w:r>
        <w:rPr>
          <w:rFonts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e)</w:t>
      </w:r>
      <w:r>
        <w:rPr>
          <w:rFonts w:ascii="楷体" w:hAnsi="楷体" w:eastAsia="楷体" w:cs="楷体"/>
          <w:color w:val="auto"/>
          <w:spacing w:val="-2"/>
          <w:sz w:val="28"/>
          <w:szCs w:val="28"/>
        </w:rPr>
        <w:t>住房装修、婚丧嫁娶、家属和子女的工作安排以及出国等提供任何金钱或非金钱方式的资助或帮助</w:t>
      </w:r>
      <w:r>
        <w:rPr>
          <w:rFonts w:hint="eastAsia"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f)吸收存款、推销金融产品、经营名贵特产类资源等提供帮助谋取利益；</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g)其他可能影响甲方人员公平、公正的履行职权或者履行职责的情形</w:t>
      </w:r>
      <w:r>
        <w:rPr>
          <w:rFonts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6.乙方应当通过正常途径开展相关业务，决不为谋取不正当利益诱使甲方人员就</w:t>
      </w:r>
      <w:r>
        <w:rPr>
          <w:rFonts w:hint="eastAsia" w:ascii="楷体" w:hAnsi="楷体" w:eastAsia="楷体" w:cs="楷体"/>
          <w:color w:val="auto"/>
          <w:spacing w:val="-2"/>
          <w:sz w:val="28"/>
          <w:szCs w:val="28"/>
        </w:rPr>
        <w:t>采购、服务或销售、经销的物项种类</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物项</w:t>
      </w:r>
      <w:r>
        <w:rPr>
          <w:rFonts w:ascii="楷体" w:hAnsi="楷体" w:eastAsia="楷体" w:cs="楷体"/>
          <w:color w:val="auto"/>
          <w:spacing w:val="-2"/>
          <w:sz w:val="28"/>
          <w:szCs w:val="28"/>
        </w:rPr>
        <w:t>数量、价格</w:t>
      </w:r>
      <w:r>
        <w:rPr>
          <w:rFonts w:hint="eastAsia" w:ascii="楷体" w:hAnsi="楷体" w:eastAsia="楷体" w:cs="楷体"/>
          <w:color w:val="auto"/>
          <w:spacing w:val="-2"/>
          <w:sz w:val="28"/>
          <w:szCs w:val="28"/>
        </w:rPr>
        <w:t>条件</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付款条件、</w:t>
      </w:r>
      <w:r>
        <w:rPr>
          <w:rFonts w:ascii="楷体" w:hAnsi="楷体" w:eastAsia="楷体" w:cs="楷体"/>
          <w:color w:val="auto"/>
          <w:spacing w:val="-2"/>
          <w:sz w:val="28"/>
          <w:szCs w:val="28"/>
        </w:rPr>
        <w:t>质量问题处理等方面私下商谈或达成默契</w:t>
      </w:r>
      <w:r>
        <w:rPr>
          <w:rFonts w:hint="eastAsia" w:ascii="楷体" w:hAnsi="楷体" w:eastAsia="楷体" w:cs="楷体"/>
          <w:color w:val="auto"/>
          <w:spacing w:val="-2"/>
          <w:sz w:val="28"/>
          <w:szCs w:val="28"/>
        </w:rPr>
        <w:t>；</w:t>
      </w:r>
      <w:r>
        <w:rPr>
          <w:rFonts w:ascii="楷体" w:hAnsi="楷体" w:eastAsia="楷体" w:cs="楷体"/>
          <w:color w:val="auto"/>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7.若乙方发现甲方人员或其</w:t>
      </w:r>
      <w:r>
        <w:rPr>
          <w:rFonts w:hint="eastAsia" w:ascii="楷体" w:hAnsi="楷体" w:eastAsia="楷体" w:cs="楷体"/>
          <w:color w:val="auto"/>
          <w:spacing w:val="-2"/>
          <w:sz w:val="28"/>
          <w:szCs w:val="28"/>
        </w:rPr>
        <w:t>配偶、子女及其配偶等亲属和其他特定关系人</w:t>
      </w:r>
      <w:r>
        <w:rPr>
          <w:rFonts w:ascii="楷体" w:hAnsi="楷体" w:eastAsia="楷体" w:cs="楷体"/>
          <w:color w:val="auto"/>
          <w:spacing w:val="-2"/>
          <w:sz w:val="28"/>
          <w:szCs w:val="28"/>
        </w:rPr>
        <w:t>有任何形式的索贿受贿行为，乙方有责任向甲方</w:t>
      </w:r>
      <w:r>
        <w:rPr>
          <w:rFonts w:hint="eastAsia" w:ascii="楷体" w:hAnsi="楷体" w:eastAsia="楷体" w:cs="楷体"/>
          <w:color w:val="auto"/>
          <w:spacing w:val="-2"/>
          <w:sz w:val="28"/>
          <w:szCs w:val="28"/>
        </w:rPr>
        <w:t>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纪委监察部门举报（举报电话：0531-58062233，举报邮箱：jianchabu@sinotruk.com）。甲方不得</w:t>
      </w:r>
      <w:r>
        <w:rPr>
          <w:rFonts w:hint="eastAsia" w:ascii="楷体" w:hAnsi="楷体" w:eastAsia="楷体" w:cs="楷体"/>
          <w:color w:val="auto"/>
          <w:spacing w:val="-2"/>
          <w:sz w:val="28"/>
          <w:szCs w:val="28"/>
        </w:rPr>
        <w:t>以</w:t>
      </w:r>
      <w:r>
        <w:rPr>
          <w:rFonts w:ascii="楷体" w:hAnsi="楷体" w:eastAsia="楷体" w:cs="楷体"/>
          <w:color w:val="auto"/>
          <w:spacing w:val="-2"/>
          <w:sz w:val="28"/>
          <w:szCs w:val="28"/>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8.若乙方知悉其它与甲方合作的供应商</w:t>
      </w:r>
      <w:r>
        <w:rPr>
          <w:rFonts w:hint="eastAsia" w:ascii="楷体" w:hAnsi="楷体" w:eastAsia="楷体" w:cs="楷体"/>
          <w:color w:val="auto"/>
          <w:spacing w:val="-2"/>
          <w:sz w:val="28"/>
          <w:szCs w:val="28"/>
        </w:rPr>
        <w:t>、服务商或采购商、经销商等合作伙伴</w:t>
      </w:r>
      <w:r>
        <w:rPr>
          <w:rFonts w:ascii="楷体" w:hAnsi="楷体" w:eastAsia="楷体" w:cs="楷体"/>
          <w:color w:val="auto"/>
          <w:spacing w:val="-2"/>
          <w:sz w:val="28"/>
          <w:szCs w:val="28"/>
        </w:rPr>
        <w:t>存在违反本协议规定之行为，乙方应向甲方</w:t>
      </w:r>
      <w:r>
        <w:rPr>
          <w:rFonts w:hint="eastAsia" w:ascii="楷体" w:hAnsi="楷体" w:eastAsia="楷体" w:cs="楷体"/>
          <w:color w:val="auto"/>
          <w:spacing w:val="-2"/>
          <w:sz w:val="28"/>
          <w:szCs w:val="28"/>
        </w:rPr>
        <w:t>或</w:t>
      </w:r>
      <w:r>
        <w:rPr>
          <w:rFonts w:ascii="楷体" w:hAnsi="楷体" w:eastAsia="楷体" w:cs="楷体"/>
          <w:color w:val="auto"/>
          <w:spacing w:val="-2"/>
          <w:sz w:val="28"/>
          <w:szCs w:val="28"/>
        </w:rPr>
        <w:t>甲方</w:t>
      </w:r>
      <w:r>
        <w:rPr>
          <w:rFonts w:hint="eastAsia" w:ascii="楷体" w:hAnsi="楷体" w:eastAsia="楷体" w:cs="楷体"/>
          <w:color w:val="auto"/>
          <w:spacing w:val="-2"/>
          <w:sz w:val="28"/>
          <w:szCs w:val="28"/>
        </w:rPr>
        <w:t>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纪委监察部门检举并提供证据。</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color w:val="auto"/>
          <w:spacing w:val="-2"/>
          <w:sz w:val="28"/>
          <w:szCs w:val="28"/>
        </w:rPr>
        <w:t>等</w:t>
      </w:r>
      <w:r>
        <w:rPr>
          <w:rFonts w:ascii="楷体" w:hAnsi="楷体" w:eastAsia="楷体" w:cs="楷体"/>
          <w:color w:val="auto"/>
          <w:spacing w:val="-2"/>
          <w:sz w:val="28"/>
          <w:szCs w:val="28"/>
        </w:rPr>
        <w:t>能够对其实际支配的企业或单位。</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14.本协议作为执行</w:t>
      </w:r>
      <w:r>
        <w:rPr>
          <w:rFonts w:hint="eastAsia" w:ascii="楷体" w:hAnsi="楷体" w:eastAsia="楷体" w:cs="楷体"/>
          <w:color w:val="auto"/>
          <w:spacing w:val="-2"/>
          <w:sz w:val="28"/>
          <w:szCs w:val="28"/>
        </w:rPr>
        <w:t>甲乙双方</w:t>
      </w:r>
      <w:r>
        <w:rPr>
          <w:rFonts w:ascii="楷体" w:hAnsi="楷体" w:eastAsia="楷体" w:cs="楷体"/>
          <w:color w:val="auto"/>
          <w:spacing w:val="-2"/>
          <w:sz w:val="28"/>
          <w:szCs w:val="28"/>
        </w:rPr>
        <w:t>采购协议</w:t>
      </w:r>
      <w:r>
        <w:rPr>
          <w:rFonts w:hint="eastAsia" w:ascii="楷体" w:hAnsi="楷体" w:eastAsia="楷体" w:cs="楷体"/>
          <w:color w:val="auto"/>
          <w:spacing w:val="-2"/>
          <w:sz w:val="28"/>
          <w:szCs w:val="28"/>
        </w:rPr>
        <w:t>或其他合作合同、协议</w:t>
      </w:r>
      <w:r>
        <w:rPr>
          <w:rFonts w:ascii="楷体" w:hAnsi="楷体" w:eastAsia="楷体" w:cs="楷体"/>
          <w:color w:val="auto"/>
          <w:spacing w:val="-2"/>
          <w:sz w:val="28"/>
          <w:szCs w:val="28"/>
        </w:rPr>
        <w:t>的附件，自双方签署之日起生效，此协议在</w:t>
      </w:r>
      <w:r>
        <w:rPr>
          <w:rFonts w:hint="eastAsia" w:ascii="楷体" w:hAnsi="楷体" w:eastAsia="楷体" w:cs="楷体"/>
          <w:color w:val="auto"/>
          <w:spacing w:val="-2"/>
          <w:sz w:val="28"/>
          <w:szCs w:val="28"/>
        </w:rPr>
        <w:t>甲乙</w:t>
      </w:r>
      <w:r>
        <w:rPr>
          <w:rFonts w:ascii="楷体" w:hAnsi="楷体" w:eastAsia="楷体" w:cs="楷体"/>
          <w:color w:val="auto"/>
          <w:spacing w:val="-2"/>
          <w:sz w:val="28"/>
          <w:szCs w:val="28"/>
        </w:rPr>
        <w:t>双方</w:t>
      </w:r>
      <w:r>
        <w:rPr>
          <w:rFonts w:hint="eastAsia" w:ascii="楷体" w:hAnsi="楷体" w:eastAsia="楷体" w:cs="楷体"/>
          <w:color w:val="auto"/>
          <w:spacing w:val="-2"/>
          <w:sz w:val="28"/>
          <w:szCs w:val="28"/>
        </w:rPr>
        <w:t>业务</w:t>
      </w:r>
      <w:r>
        <w:rPr>
          <w:rFonts w:ascii="楷体" w:hAnsi="楷体" w:eastAsia="楷体" w:cs="楷体"/>
          <w:color w:val="auto"/>
          <w:spacing w:val="-2"/>
          <w:sz w:val="28"/>
          <w:szCs w:val="28"/>
        </w:rPr>
        <w:t>合作期间有效</w:t>
      </w:r>
      <w:r>
        <w:rPr>
          <w:rFonts w:hint="eastAsia" w:ascii="楷体" w:hAnsi="楷体" w:eastAsia="楷体" w:cs="楷体"/>
          <w:color w:val="auto"/>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w:t>
      </w:r>
      <w:r>
        <w:rPr>
          <w:rFonts w:hint="eastAsia" w:ascii="楷体" w:hAnsi="楷体" w:eastAsia="楷体" w:cs="楷体"/>
          <w:color w:val="auto"/>
          <w:spacing w:val="-2"/>
          <w:sz w:val="28"/>
          <w:szCs w:val="28"/>
        </w:rPr>
        <w:t>5</w:t>
      </w:r>
      <w:r>
        <w:rPr>
          <w:rFonts w:ascii="楷体" w:hAnsi="楷体" w:eastAsia="楷体" w:cs="楷体"/>
          <w:color w:val="auto"/>
          <w:spacing w:val="-2"/>
          <w:sz w:val="28"/>
          <w:szCs w:val="28"/>
        </w:rPr>
        <w:t>.本协议一式二份，双方各执一份，具有同等法律效力。若产生争议，双方协商解决，协商不成的在甲方所在地有管辖权的法院诉讼解决。</w:t>
      </w:r>
    </w:p>
    <w:p>
      <w:pPr>
        <w:pStyle w:val="11"/>
        <w:spacing w:before="9" w:after="156"/>
        <w:rPr>
          <w:rFonts w:ascii="楷体" w:hAnsi="楷体" w:eastAsia="楷体" w:cs="楷体"/>
          <w:color w:val="auto"/>
          <w:sz w:val="40"/>
          <w:szCs w:val="28"/>
        </w:rPr>
      </w:pPr>
    </w:p>
    <w:p>
      <w:pPr>
        <w:tabs>
          <w:tab w:val="left" w:pos="5457"/>
        </w:tabs>
        <w:spacing w:before="1"/>
        <w:ind w:left="117"/>
        <w:rPr>
          <w:rFonts w:ascii="楷体" w:hAnsi="楷体" w:eastAsia="楷体" w:cs="楷体"/>
          <w:b/>
          <w:color w:val="auto"/>
          <w:sz w:val="24"/>
          <w:szCs w:val="21"/>
        </w:rPr>
      </w:pPr>
      <w:r>
        <w:rPr>
          <w:rFonts w:hint="eastAsia" w:ascii="楷体" w:hAnsi="楷体" w:eastAsia="楷体" w:cs="楷体"/>
          <w:b/>
          <w:color w:val="auto"/>
          <w:spacing w:val="-1"/>
          <w:w w:val="99"/>
          <w:sz w:val="24"/>
          <w:szCs w:val="21"/>
        </w:rPr>
        <w:t>甲方（盖章</w:t>
      </w:r>
      <w:r>
        <w:rPr>
          <w:rFonts w:hint="eastAsia" w:ascii="楷体" w:hAnsi="楷体" w:eastAsia="楷体" w:cs="楷体"/>
          <w:b/>
          <w:color w:val="auto"/>
          <w:spacing w:val="-140"/>
          <w:w w:val="99"/>
          <w:sz w:val="24"/>
          <w:szCs w:val="21"/>
        </w:rPr>
        <w:t>）</w:t>
      </w:r>
      <w:r>
        <w:rPr>
          <w:rFonts w:hint="eastAsia" w:ascii="楷体" w:hAnsi="楷体" w:eastAsia="楷体" w:cs="楷体"/>
          <w:b/>
          <w:color w:val="auto"/>
          <w:w w:val="99"/>
          <w:sz w:val="24"/>
          <w:szCs w:val="21"/>
        </w:rPr>
        <w:t>：</w:t>
      </w:r>
      <w:r>
        <w:rPr>
          <w:rFonts w:hint="eastAsia" w:ascii="楷体" w:hAnsi="楷体" w:eastAsia="楷体" w:cs="楷体"/>
          <w:b/>
          <w:color w:val="auto"/>
          <w:sz w:val="24"/>
          <w:szCs w:val="21"/>
        </w:rPr>
        <w:tab/>
      </w:r>
      <w:r>
        <w:rPr>
          <w:rFonts w:hint="eastAsia" w:ascii="楷体" w:hAnsi="楷体" w:eastAsia="楷体" w:cs="楷体"/>
          <w:b/>
          <w:color w:val="auto"/>
          <w:spacing w:val="-1"/>
          <w:w w:val="99"/>
          <w:sz w:val="24"/>
          <w:szCs w:val="21"/>
        </w:rPr>
        <w:t>乙方（盖</w:t>
      </w:r>
      <w:r>
        <w:rPr>
          <w:rFonts w:hint="eastAsia" w:ascii="楷体" w:hAnsi="楷体" w:eastAsia="楷体" w:cs="楷体"/>
          <w:b/>
          <w:color w:val="auto"/>
          <w:spacing w:val="2"/>
          <w:w w:val="99"/>
          <w:sz w:val="24"/>
          <w:szCs w:val="21"/>
        </w:rPr>
        <w:t>章</w:t>
      </w:r>
      <w:r>
        <w:rPr>
          <w:rFonts w:hint="eastAsia" w:ascii="楷体" w:hAnsi="楷体" w:eastAsia="楷体" w:cs="楷体"/>
          <w:b/>
          <w:color w:val="auto"/>
          <w:spacing w:val="-142"/>
          <w:w w:val="99"/>
          <w:sz w:val="24"/>
          <w:szCs w:val="21"/>
        </w:rPr>
        <w:t>）</w:t>
      </w:r>
      <w:r>
        <w:rPr>
          <w:rFonts w:hint="eastAsia" w:ascii="楷体" w:hAnsi="楷体" w:eastAsia="楷体" w:cs="楷体"/>
          <w:b/>
          <w:color w:val="auto"/>
          <w:w w:val="99"/>
          <w:sz w:val="24"/>
          <w:szCs w:val="21"/>
        </w:rPr>
        <w:t>：</w:t>
      </w:r>
    </w:p>
    <w:p>
      <w:pPr>
        <w:pStyle w:val="11"/>
        <w:spacing w:after="156"/>
        <w:rPr>
          <w:rFonts w:ascii="楷体" w:hAnsi="楷体" w:eastAsia="楷体" w:cs="楷体"/>
          <w:b/>
          <w:color w:val="auto"/>
          <w:sz w:val="24"/>
          <w:szCs w:val="28"/>
        </w:rPr>
      </w:pPr>
    </w:p>
    <w:p>
      <w:pPr>
        <w:pStyle w:val="11"/>
        <w:spacing w:before="1" w:after="156"/>
        <w:rPr>
          <w:rFonts w:ascii="楷体" w:hAnsi="楷体" w:eastAsia="楷体" w:cs="楷体"/>
          <w:b/>
          <w:color w:val="auto"/>
          <w:sz w:val="24"/>
          <w:szCs w:val="28"/>
        </w:rPr>
      </w:pPr>
    </w:p>
    <w:p>
      <w:pPr>
        <w:tabs>
          <w:tab w:val="left" w:pos="5457"/>
        </w:tabs>
        <w:ind w:left="117"/>
        <w:rPr>
          <w:rFonts w:ascii="楷体" w:hAnsi="楷体" w:eastAsia="楷体" w:cs="楷体"/>
          <w:b/>
          <w:color w:val="auto"/>
          <w:sz w:val="24"/>
          <w:szCs w:val="21"/>
        </w:rPr>
      </w:pPr>
      <w:r>
        <w:rPr>
          <w:rFonts w:hint="eastAsia" w:ascii="楷体" w:hAnsi="楷体" w:eastAsia="楷体" w:cs="楷体"/>
          <w:b/>
          <w:color w:val="auto"/>
          <w:sz w:val="24"/>
          <w:szCs w:val="21"/>
        </w:rPr>
        <w:t>法定代表/授权代表</w:t>
      </w:r>
      <w:r>
        <w:rPr>
          <w:rFonts w:hint="eastAsia" w:ascii="楷体" w:hAnsi="楷体" w:eastAsia="楷体" w:cs="楷体"/>
          <w:b/>
          <w:color w:val="auto"/>
          <w:sz w:val="24"/>
          <w:szCs w:val="21"/>
        </w:rPr>
        <w:tab/>
      </w:r>
      <w:r>
        <w:rPr>
          <w:rFonts w:hint="eastAsia" w:ascii="楷体" w:hAnsi="楷体" w:eastAsia="楷体" w:cs="楷体"/>
          <w:b/>
          <w:color w:val="auto"/>
          <w:sz w:val="24"/>
          <w:szCs w:val="21"/>
        </w:rPr>
        <w:t>法定代表/授权代表</w:t>
      </w:r>
    </w:p>
    <w:p>
      <w:pPr>
        <w:pStyle w:val="11"/>
        <w:spacing w:after="156"/>
        <w:rPr>
          <w:rFonts w:ascii="楷体" w:hAnsi="楷体" w:eastAsia="楷体" w:cs="楷体"/>
          <w:b/>
          <w:color w:val="auto"/>
          <w:sz w:val="24"/>
          <w:szCs w:val="28"/>
        </w:rPr>
      </w:pPr>
    </w:p>
    <w:p>
      <w:pPr>
        <w:pStyle w:val="11"/>
        <w:spacing w:before="4" w:after="156"/>
        <w:rPr>
          <w:rFonts w:ascii="楷体" w:hAnsi="楷体" w:eastAsia="楷体" w:cs="楷体"/>
          <w:b/>
          <w:color w:val="auto"/>
          <w:sz w:val="24"/>
          <w:szCs w:val="28"/>
        </w:rPr>
      </w:pPr>
    </w:p>
    <w:p>
      <w:pPr>
        <w:tabs>
          <w:tab w:val="left" w:pos="5457"/>
        </w:tabs>
        <w:ind w:left="117"/>
        <w:rPr>
          <w:rFonts w:ascii="楷体" w:hAnsi="楷体" w:eastAsia="楷体" w:cs="楷体"/>
          <w:b/>
          <w:color w:val="auto"/>
          <w:sz w:val="24"/>
          <w:szCs w:val="21"/>
        </w:rPr>
      </w:pPr>
      <w:r>
        <w:rPr>
          <w:rFonts w:hint="eastAsia" w:ascii="楷体" w:hAnsi="楷体" w:eastAsia="楷体" w:cs="楷体"/>
          <w:b/>
          <w:color w:val="auto"/>
          <w:sz w:val="24"/>
          <w:szCs w:val="21"/>
        </w:rPr>
        <w:t>日</w:t>
      </w:r>
      <w:r>
        <w:rPr>
          <w:rFonts w:hint="eastAsia" w:ascii="楷体" w:hAnsi="楷体" w:eastAsia="楷体" w:cs="楷体"/>
          <w:b/>
          <w:color w:val="auto"/>
          <w:spacing w:val="-4"/>
          <w:sz w:val="24"/>
          <w:szCs w:val="21"/>
        </w:rPr>
        <w:t xml:space="preserve"> </w:t>
      </w:r>
      <w:r>
        <w:rPr>
          <w:rFonts w:hint="eastAsia" w:ascii="楷体" w:hAnsi="楷体" w:eastAsia="楷体" w:cs="楷体"/>
          <w:b/>
          <w:color w:val="auto"/>
          <w:sz w:val="24"/>
          <w:szCs w:val="21"/>
        </w:rPr>
        <w:t>期:</w:t>
      </w:r>
      <w:r>
        <w:rPr>
          <w:rFonts w:hint="eastAsia" w:ascii="楷体" w:hAnsi="楷体" w:eastAsia="楷体" w:cs="楷体"/>
          <w:b/>
          <w:color w:val="auto"/>
          <w:sz w:val="24"/>
          <w:szCs w:val="21"/>
        </w:rPr>
        <w:tab/>
      </w:r>
      <w:r>
        <w:rPr>
          <w:rFonts w:hint="eastAsia" w:ascii="楷体" w:hAnsi="楷体" w:eastAsia="楷体" w:cs="楷体"/>
          <w:b/>
          <w:color w:val="auto"/>
          <w:sz w:val="24"/>
          <w:szCs w:val="21"/>
        </w:rPr>
        <w:t>日 期:</w:t>
      </w:r>
    </w:p>
    <w:p>
      <w:pPr>
        <w:tabs>
          <w:tab w:val="left" w:pos="5457"/>
        </w:tabs>
        <w:ind w:left="117"/>
        <w:rPr>
          <w:rFonts w:ascii="楷体" w:hAnsi="楷体" w:eastAsia="楷体" w:cs="楷体"/>
          <w:b/>
          <w:color w:val="auto"/>
          <w:sz w:val="24"/>
          <w:szCs w:val="21"/>
        </w:rPr>
      </w:pPr>
    </w:p>
    <w:p>
      <w:pPr>
        <w:keepNext/>
        <w:keepLines/>
        <w:jc w:val="center"/>
        <w:outlineLvl w:val="0"/>
        <w:rPr>
          <w:rFonts w:ascii="Calibri" w:hAnsi="Calibri" w:eastAsia="宋体" w:cs="Times New Roman"/>
          <w:b/>
          <w:bCs/>
          <w:color w:val="auto"/>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color w:val="auto"/>
          <w:kern w:val="44"/>
          <w:sz w:val="36"/>
          <w:szCs w:val="44"/>
        </w:rPr>
      </w:pPr>
      <w:r>
        <w:rPr>
          <w:rFonts w:hint="eastAsia" w:ascii="Calibri" w:hAnsi="Calibri" w:eastAsia="宋体" w:cs="Times New Roman"/>
          <w:b/>
          <w:bCs/>
          <w:color w:val="auto"/>
          <w:kern w:val="44"/>
          <w:sz w:val="36"/>
          <w:szCs w:val="44"/>
        </w:rPr>
        <w:t>第六部分</w:t>
      </w:r>
      <w:r>
        <w:rPr>
          <w:rFonts w:ascii="Calibri" w:hAnsi="Calibri" w:eastAsia="宋体" w:cs="Times New Roman"/>
          <w:b/>
          <w:bCs/>
          <w:color w:val="auto"/>
          <w:kern w:val="44"/>
          <w:sz w:val="36"/>
          <w:szCs w:val="44"/>
        </w:rPr>
        <w:t xml:space="preserve"> </w:t>
      </w:r>
      <w:r>
        <w:rPr>
          <w:rFonts w:hint="eastAsia" w:ascii="Calibri" w:hAnsi="Calibri" w:eastAsia="宋体" w:cs="Times New Roman"/>
          <w:b/>
          <w:bCs/>
          <w:color w:val="auto"/>
          <w:kern w:val="44"/>
          <w:sz w:val="36"/>
          <w:szCs w:val="44"/>
        </w:rPr>
        <w:t>投标文件附件</w:t>
      </w:r>
      <w:bookmarkEnd w:id="1174"/>
    </w:p>
    <w:p>
      <w:pPr>
        <w:keepNext/>
        <w:keepLines/>
        <w:rPr>
          <w:rFonts w:ascii="Times New Roman" w:hAnsi="Times New Roman" w:eastAsia="宋体" w:cs="Times New Roman"/>
          <w:b/>
          <w:bCs/>
          <w:color w:val="auto"/>
          <w:sz w:val="24"/>
          <w:szCs w:val="24"/>
        </w:rPr>
      </w:pPr>
    </w:p>
    <w:p>
      <w:pPr>
        <w:pStyle w:val="16"/>
        <w:framePr w:wrap="around"/>
        <w:rPr>
          <w:color w:val="auto"/>
        </w:rPr>
      </w:pP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说明：</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1.投标人须认真填写和提交本部分中的附件文件；</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2.对附件文件中所要求的内容应给予明确的答复；</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4.招标人将对投标人提交的文件、资料等内容予以保密，但不退还；</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5.所有附件文件应以中文书写，作为投标文件的组成部分。</w:t>
      </w:r>
    </w:p>
    <w:p>
      <w:pPr>
        <w:pStyle w:val="16"/>
        <w:framePr w:wrap="around"/>
        <w:rPr>
          <w:color w:val="auto"/>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1</w:t>
      </w:r>
      <w:bookmarkStart w:id="1255" w:name="_Toc353881012"/>
      <w:bookmarkStart w:id="1256" w:name="_Toc212369550"/>
      <w:bookmarkStart w:id="1257" w:name="_Toc639004"/>
      <w:bookmarkStart w:id="1258" w:name="_Toc25811"/>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投标函</w:t>
      </w:r>
      <w:bookmarkEnd w:id="1255"/>
      <w:bookmarkEnd w:id="1256"/>
      <w:bookmarkEnd w:id="1257"/>
      <w:bookmarkEnd w:id="1258"/>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致：中国重汽集团济南特种车有限公司：</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根据贵方</w:t>
      </w:r>
      <w:r>
        <w:rPr>
          <w:rFonts w:hint="eastAsia" w:ascii="宋体" w:hAnsi="宋体" w:eastAsia="宋体" w:cs="宋体"/>
          <w:color w:val="auto"/>
          <w:sz w:val="24"/>
          <w:szCs w:val="24"/>
          <w:u w:val="single"/>
        </w:rPr>
        <w:t xml:space="preserve"> 车间大屏项目土建施工</w:t>
      </w:r>
      <w:r>
        <w:rPr>
          <w:rFonts w:hint="eastAsia" w:ascii="宋体" w:hAnsi="宋体" w:eastAsia="宋体" w:cs="Times New Roman"/>
          <w:bCs/>
          <w:snapToGrid w:val="0"/>
          <w:color w:val="auto"/>
          <w:kern w:val="0"/>
          <w:sz w:val="24"/>
          <w:szCs w:val="24"/>
        </w:rPr>
        <w:t>招标公告</w:t>
      </w:r>
      <w:r>
        <w:rPr>
          <w:rFonts w:hint="eastAsia" w:ascii="宋体" w:hAnsi="宋体" w:eastAsia="宋体" w:cs="Times New Roman"/>
          <w:color w:val="auto"/>
          <w:sz w:val="24"/>
          <w:szCs w:val="24"/>
        </w:rPr>
        <w:t>，</w:t>
      </w:r>
      <w:r>
        <w:rPr>
          <w:rFonts w:ascii="宋体" w:hAnsi="宋体" w:eastAsia="宋体" w:cs="Times New Roman"/>
          <w:b/>
          <w:color w:val="auto"/>
          <w:sz w:val="24"/>
          <w:szCs w:val="24"/>
          <w:u w:val="single"/>
        </w:rPr>
        <w:t xml:space="preserve">            </w:t>
      </w:r>
      <w:r>
        <w:rPr>
          <w:rFonts w:hint="eastAsia" w:ascii="宋体" w:hAnsi="宋体" w:eastAsia="宋体" w:cs="Times New Roman"/>
          <w:color w:val="auto"/>
          <w:sz w:val="24"/>
          <w:szCs w:val="24"/>
        </w:rPr>
        <w:t>投标公司，</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法人代表人为</w:t>
      </w:r>
      <w:r>
        <w:rPr>
          <w:rFonts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，正式授权</w:t>
      </w:r>
      <w:r>
        <w:rPr>
          <w:rFonts w:ascii="宋体" w:hAnsi="宋体" w:eastAsia="宋体" w:cs="Times New Roman"/>
          <w:color w:val="auto"/>
          <w:sz w:val="24"/>
          <w:szCs w:val="24"/>
          <w:u w:val="single"/>
        </w:rPr>
        <w:t xml:space="preserve">           </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提交纸质投标文件：资质证明文件、商务文件正本</w:t>
      </w:r>
      <w:r>
        <w:rPr>
          <w:rFonts w:hint="eastAsia" w:ascii="宋体" w:hAnsi="宋体" w:eastAsia="宋体" w:cs="Times New Roman"/>
          <w:color w:val="auto"/>
          <w:sz w:val="24"/>
          <w:szCs w:val="24"/>
          <w:highlight w:val="yellow"/>
        </w:rPr>
        <w:t>一</w:t>
      </w:r>
      <w:r>
        <w:rPr>
          <w:rFonts w:hint="eastAsia" w:ascii="宋体" w:hAnsi="宋体" w:eastAsia="宋体" w:cs="Times New Roman"/>
          <w:color w:val="auto"/>
          <w:sz w:val="24"/>
          <w:szCs w:val="24"/>
        </w:rPr>
        <w:t>份；电子版投标文件一份。</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据此函，签字代表宣布同意如下：</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w:t>
      </w:r>
      <w:r>
        <w:rPr>
          <w:rFonts w:hint="eastAsia" w:ascii="宋体" w:hAnsi="宋体" w:eastAsia="宋体" w:cs="Times New Roman"/>
          <w:color w:val="auto"/>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w:t>
      </w:r>
      <w:r>
        <w:rPr>
          <w:rFonts w:hint="eastAsia" w:ascii="宋体" w:hAnsi="宋体" w:eastAsia="宋体" w:cs="Times New Roman"/>
          <w:color w:val="auto"/>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.本投标有效期自开标日起</w:t>
      </w:r>
      <w:r>
        <w:rPr>
          <w:rFonts w:ascii="宋体" w:hAnsi="宋体" w:eastAsia="宋体" w:cs="Times New Roman"/>
          <w:bCs/>
          <w:color w:val="auto"/>
          <w:sz w:val="24"/>
          <w:szCs w:val="24"/>
          <w:u w:val="single"/>
        </w:rPr>
        <w:t xml:space="preserve"> 90</w:t>
      </w:r>
      <w:r>
        <w:rPr>
          <w:rFonts w:hint="eastAsia" w:ascii="宋体" w:hAnsi="宋体" w:eastAsia="宋体" w:cs="Times New Roman"/>
          <w:color w:val="auto"/>
          <w:sz w:val="24"/>
          <w:szCs w:val="24"/>
        </w:rPr>
        <w:t>个日历日。</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w:t>
      </w:r>
      <w:r>
        <w:rPr>
          <w:rFonts w:hint="eastAsia" w:ascii="宋体" w:hAnsi="宋体" w:eastAsia="宋体" w:cs="Times New Roman"/>
          <w:color w:val="auto"/>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w:t>
      </w:r>
      <w:r>
        <w:rPr>
          <w:rFonts w:hint="eastAsia" w:ascii="宋体" w:hAnsi="宋体" w:eastAsia="宋体" w:cs="Times New Roman"/>
          <w:color w:val="auto"/>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.与本投标有关的一切正式往来信函请寄：</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邮编：</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电话：</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传真：</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投标人代表姓名：</w:t>
      </w:r>
      <w:r>
        <w:rPr>
          <w:rFonts w:hint="eastAsia"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职务：</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开户银行：</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银行帐号：</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hint="eastAsia" w:ascii="宋体" w:hAnsi="宋体" w:eastAsia="宋体" w:cs="Times New Roman"/>
          <w:bCs/>
          <w:color w:val="auto"/>
          <w:sz w:val="24"/>
          <w:szCs w:val="24"/>
        </w:rPr>
        <w:t>盖章）</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授权代表签字</w:t>
      </w:r>
      <w:r>
        <w:rPr>
          <w:rFonts w:hint="eastAsia" w:ascii="宋体" w:hAnsi="宋体" w:eastAsia="宋体" w:cs="Times New Roman"/>
          <w:bCs/>
          <w:color w:val="auto"/>
          <w:sz w:val="24"/>
          <w:szCs w:val="24"/>
        </w:rPr>
        <w:t>：</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pPr>
        <w:rPr>
          <w:rFonts w:ascii="黑体" w:hAnsi="Calibri" w:eastAsia="黑体" w:cs="Times New Roman"/>
          <w:color w:val="auto"/>
          <w:sz w:val="24"/>
          <w:szCs w:val="24"/>
        </w:rPr>
      </w:pPr>
    </w:p>
    <w:p>
      <w:pPr>
        <w:rPr>
          <w:rFonts w:ascii="黑体" w:hAnsi="Calibri" w:eastAsia="黑体" w:cs="Times New Roman"/>
          <w:color w:val="auto"/>
          <w:sz w:val="24"/>
          <w:szCs w:val="24"/>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rPr>
          <w:rFonts w:ascii="黑体" w:hAnsi="Calibri" w:eastAsia="黑体" w:cs="Times New Roman"/>
          <w:color w:val="auto"/>
          <w:sz w:val="24"/>
          <w:szCs w:val="24"/>
        </w:r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 xml:space="preserve">2 </w:t>
      </w:r>
      <w:r>
        <w:rPr>
          <w:rFonts w:hint="eastAsia" w:ascii="Times New Roman" w:hAnsi="Times New Roman" w:eastAsia="宋体" w:cs="Times New Roman"/>
          <w:b/>
          <w:bCs/>
          <w:color w:val="auto"/>
          <w:sz w:val="24"/>
          <w:szCs w:val="24"/>
        </w:rPr>
        <w:t>法定代表人授权委托书</w:t>
      </w:r>
    </w:p>
    <w:p>
      <w:pPr>
        <w:adjustRightInd w:val="0"/>
        <w:snapToGrid w:val="0"/>
        <w:spacing w:before="93" w:beforeLines="30" w:line="240" w:lineRule="exact"/>
        <w:jc w:val="center"/>
        <w:rPr>
          <w:rFonts w:ascii="宋体" w:hAnsi="Calibri" w:eastAsia="宋体" w:cs="Times New Roman"/>
          <w:color w:val="auto"/>
          <w:sz w:val="24"/>
          <w:szCs w:val="20"/>
        </w:rPr>
      </w:pP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ascii="宋体" w:hAnsi="宋体" w:eastAsia="宋体" w:cs="Times New Roman"/>
          <w:b/>
          <w:bCs/>
          <w:color w:val="auto"/>
          <w:sz w:val="24"/>
          <w:szCs w:val="24"/>
          <w:u w:val="single"/>
        </w:rPr>
        <w:t xml:space="preserve"> </w:t>
      </w:r>
      <w:r>
        <w:rPr>
          <w:rFonts w:hint="eastAsia" w:ascii="宋体" w:hAnsi="宋体" w:eastAsia="宋体" w:cs="宋体"/>
          <w:color w:val="auto"/>
          <w:sz w:val="24"/>
          <w:szCs w:val="24"/>
          <w:u w:val="single"/>
        </w:rPr>
        <w:t>特种车公司车间大屏项目土建施工</w:t>
      </w:r>
      <w:r>
        <w:rPr>
          <w:rFonts w:ascii="宋体" w:hAnsi="宋体" w:eastAsia="宋体" w:cs="Times New Roman"/>
          <w:b/>
          <w:bCs/>
          <w:color w:val="auto"/>
          <w:sz w:val="24"/>
          <w:szCs w:val="24"/>
        </w:rPr>
        <w:t xml:space="preserve"> </w:t>
      </w:r>
      <w:r>
        <w:rPr>
          <w:rFonts w:hint="eastAsia" w:ascii="宋体" w:hAnsi="宋体" w:eastAsia="宋体" w:cs="Times New Roman"/>
          <w:color w:val="auto"/>
          <w:sz w:val="24"/>
          <w:szCs w:val="24"/>
        </w:rPr>
        <w:t>（CGZX2025060059）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附法人身份证明复印件（正反面）</w:t>
            </w:r>
          </w:p>
          <w:p>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附授权代理人身份证明复印件（正反面）</w:t>
            </w:r>
          </w:p>
        </w:tc>
      </w:tr>
    </w:tbl>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Calibri" w:hAnsi="Calibri" w:eastAsia="黑体" w:cs="Times New Roman"/>
          <w:b/>
          <w:bCs/>
          <w:color w:val="auto"/>
          <w:sz w:val="28"/>
          <w:szCs w:val="20"/>
        </w:rPr>
      </w:pPr>
    </w:p>
    <w:p>
      <w:pPr>
        <w:pStyle w:val="16"/>
        <w:framePr w:wrap="around"/>
        <w:rPr>
          <w:color w:val="auto"/>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auto"/>
          <w:sz w:val="24"/>
          <w:szCs w:val="24"/>
        </w:rPr>
      </w:pPr>
      <w:r>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rPr>
        <w:t xml:space="preserve"> </w:t>
      </w:r>
      <w:r>
        <w:rPr>
          <w:rFonts w:ascii="宋体" w:hAnsi="宋体" w:eastAsia="宋体" w:cs="宋体"/>
          <w:color w:val="auto"/>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rPr>
                <w:color w:val="auto"/>
              </w:rPr>
            </w:pPr>
            <w:r>
              <w:rPr>
                <w:color w:val="auto"/>
              </w:rPr>
              <w:t xml:space="preserve">企业名称 </w:t>
            </w:r>
          </w:p>
        </w:tc>
        <w:tc>
          <w:tcPr>
            <w:tcW w:w="4680" w:type="dxa"/>
            <w:gridSpan w:val="4"/>
            <w:vAlign w:val="center"/>
          </w:tcPr>
          <w:p>
            <w:pPr>
              <w:widowControl/>
              <w:jc w:val="center"/>
              <w:textAlignment w:val="center"/>
              <w:rPr>
                <w:rFonts w:ascii="宋体" w:hAnsi="宋体" w:eastAsia="宋体" w:cs="宋体"/>
                <w:color w:val="auto"/>
              </w:rPr>
            </w:pPr>
          </w:p>
        </w:tc>
        <w:tc>
          <w:tcPr>
            <w:tcW w:w="1310" w:type="dxa"/>
          </w:tcPr>
          <w:p>
            <w:pPr>
              <w:pStyle w:val="129"/>
              <w:spacing w:before="106"/>
              <w:ind w:left="154" w:right="26"/>
              <w:jc w:val="center"/>
              <w:rPr>
                <w:color w:val="auto"/>
              </w:rPr>
            </w:pPr>
            <w:r>
              <w:rPr>
                <w:color w:val="auto"/>
              </w:rPr>
              <w:t xml:space="preserve">联系人 </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rPr>
                <w:color w:val="auto"/>
              </w:rPr>
            </w:pPr>
            <w:r>
              <w:rPr>
                <w:color w:val="auto"/>
              </w:rPr>
              <w:t xml:space="preserve">企业地址 </w:t>
            </w:r>
          </w:p>
        </w:tc>
        <w:tc>
          <w:tcPr>
            <w:tcW w:w="4680" w:type="dxa"/>
            <w:gridSpan w:val="4"/>
            <w:vAlign w:val="center"/>
          </w:tcPr>
          <w:p>
            <w:pPr>
              <w:widowControl/>
              <w:jc w:val="center"/>
              <w:textAlignment w:val="center"/>
              <w:rPr>
                <w:rFonts w:ascii="宋体" w:hAnsi="宋体" w:eastAsia="宋体" w:cs="宋体"/>
                <w:color w:val="auto"/>
              </w:rPr>
            </w:pPr>
          </w:p>
        </w:tc>
        <w:tc>
          <w:tcPr>
            <w:tcW w:w="1310" w:type="dxa"/>
          </w:tcPr>
          <w:p>
            <w:pPr>
              <w:pStyle w:val="129"/>
              <w:spacing w:before="106"/>
              <w:ind w:left="154" w:right="26"/>
              <w:jc w:val="center"/>
              <w:rPr>
                <w:color w:val="auto"/>
              </w:rPr>
            </w:pPr>
            <w:r>
              <w:rPr>
                <w:color w:val="auto"/>
              </w:rPr>
              <w:t xml:space="preserve">联系人电话 </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rPr>
                <w:color w:val="auto"/>
              </w:rPr>
            </w:pPr>
            <w:r>
              <w:rPr>
                <w:color w:val="auto"/>
              </w:rPr>
              <w:t xml:space="preserve">企业性质 </w:t>
            </w:r>
          </w:p>
        </w:tc>
        <w:tc>
          <w:tcPr>
            <w:tcW w:w="4680" w:type="dxa"/>
            <w:gridSpan w:val="4"/>
            <w:vAlign w:val="center"/>
          </w:tcPr>
          <w:p>
            <w:pPr>
              <w:widowControl/>
              <w:jc w:val="center"/>
              <w:textAlignment w:val="center"/>
              <w:rPr>
                <w:rFonts w:ascii="宋体" w:hAnsi="宋体" w:eastAsia="宋体" w:cs="宋体"/>
                <w:color w:val="auto"/>
              </w:rPr>
            </w:pPr>
          </w:p>
        </w:tc>
        <w:tc>
          <w:tcPr>
            <w:tcW w:w="1310" w:type="dxa"/>
          </w:tcPr>
          <w:p>
            <w:pPr>
              <w:pStyle w:val="129"/>
              <w:spacing w:before="103"/>
              <w:ind w:left="154" w:right="26"/>
              <w:jc w:val="center"/>
              <w:rPr>
                <w:color w:val="auto"/>
              </w:rPr>
            </w:pPr>
            <w:r>
              <w:rPr>
                <w:rFonts w:hint="eastAsia"/>
                <w:color w:val="auto"/>
              </w:rPr>
              <w:t>注册时间</w:t>
            </w:r>
            <w:r>
              <w:rPr>
                <w:color w:val="auto"/>
              </w:rPr>
              <w:t xml:space="preserve"> </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color w:val="auto"/>
                <w:highlight w:val="yellow"/>
              </w:rPr>
            </w:pPr>
            <w:r>
              <w:rPr>
                <w:color w:val="auto"/>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auto"/>
              </w:rPr>
            </w:pPr>
          </w:p>
        </w:tc>
        <w:tc>
          <w:tcPr>
            <w:tcW w:w="1310" w:type="dxa"/>
          </w:tcPr>
          <w:p>
            <w:pPr>
              <w:pStyle w:val="129"/>
              <w:spacing w:before="103"/>
              <w:ind w:right="26"/>
              <w:jc w:val="center"/>
              <w:rPr>
                <w:color w:val="auto"/>
              </w:rPr>
            </w:pPr>
            <w:r>
              <w:rPr>
                <w:color w:val="auto"/>
              </w:rPr>
              <w:t>企业资质</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rPr>
                <w:color w:val="auto"/>
              </w:rPr>
            </w:pPr>
            <w:r>
              <w:rPr>
                <w:color w:val="auto"/>
              </w:rPr>
              <w:t xml:space="preserve">品牌区分 </w:t>
            </w:r>
          </w:p>
        </w:tc>
        <w:tc>
          <w:tcPr>
            <w:tcW w:w="7500" w:type="dxa"/>
            <w:gridSpan w:val="6"/>
          </w:tcPr>
          <w:p>
            <w:pPr>
              <w:pStyle w:val="129"/>
              <w:spacing w:before="106"/>
              <w:ind w:left="401"/>
              <w:rPr>
                <w:color w:val="auto"/>
              </w:rPr>
            </w:pPr>
            <w:r>
              <w:rPr>
                <w:color w:val="auto"/>
              </w:rPr>
              <w:t xml:space="preserve"> </w:t>
            </w:r>
            <w:r>
              <w:rPr>
                <w:color w:val="auto"/>
              </w:rPr>
              <w:sym w:font="Wingdings 2" w:char="00A3"/>
            </w:r>
            <w:r>
              <w:rPr>
                <w:color w:val="auto"/>
              </w:rPr>
              <w:t xml:space="preserve">自产 </w:t>
            </w:r>
            <w:r>
              <w:rPr>
                <w:color w:val="auto"/>
              </w:rPr>
              <w:sym w:font="Wingdings 2" w:char="00A3"/>
            </w:r>
            <w:r>
              <w:rPr>
                <w:color w:val="auto"/>
              </w:rPr>
              <w:t xml:space="preserve">总代理 </w:t>
            </w:r>
            <w:r>
              <w:rPr>
                <w:color w:val="auto"/>
              </w:rPr>
              <w:sym w:font="Wingdings 2" w:char="00A3"/>
            </w:r>
            <w:r>
              <w:rPr>
                <w:color w:val="auto"/>
              </w:rPr>
              <w:t xml:space="preserve">代理  </w:t>
            </w:r>
            <w:r>
              <w:rPr>
                <w:color w:val="auto"/>
              </w:rPr>
              <w:sym w:font="Wingdings 2" w:char="00A3"/>
            </w:r>
            <w:r>
              <w:rPr>
                <w:color w:val="auto"/>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rPr>
                <w:color w:val="auto"/>
              </w:rPr>
            </w:pPr>
            <w:r>
              <w:rPr>
                <w:color w:val="auto"/>
              </w:rPr>
              <w:t xml:space="preserve">品牌名称 </w:t>
            </w:r>
          </w:p>
        </w:tc>
        <w:tc>
          <w:tcPr>
            <w:tcW w:w="3583" w:type="dxa"/>
            <w:gridSpan w:val="3"/>
            <w:vAlign w:val="center"/>
          </w:tcPr>
          <w:p>
            <w:pPr>
              <w:widowControl/>
              <w:rPr>
                <w:rFonts w:ascii="宋体" w:hAnsi="宋体" w:eastAsia="仿宋_GB2312"/>
                <w:color w:val="auto"/>
                <w:kern w:val="0"/>
                <w:szCs w:val="21"/>
                <w:lang w:bidi="ar"/>
              </w:rPr>
            </w:pPr>
          </w:p>
        </w:tc>
        <w:tc>
          <w:tcPr>
            <w:tcW w:w="1097" w:type="dxa"/>
          </w:tcPr>
          <w:p>
            <w:pPr>
              <w:pStyle w:val="129"/>
              <w:spacing w:before="15"/>
              <w:ind w:left="279"/>
              <w:rPr>
                <w:color w:val="auto"/>
              </w:rPr>
            </w:pPr>
            <w:r>
              <w:rPr>
                <w:color w:val="auto"/>
                <w:spacing w:val="-2"/>
              </w:rPr>
              <w:t>质量</w:t>
            </w:r>
            <w:r>
              <w:rPr>
                <w:color w:val="auto"/>
              </w:rPr>
              <w:t xml:space="preserve"> </w:t>
            </w:r>
          </w:p>
          <w:p>
            <w:pPr>
              <w:pStyle w:val="129"/>
              <w:spacing w:before="30" w:line="277" w:lineRule="exact"/>
              <w:ind w:left="279"/>
              <w:rPr>
                <w:color w:val="auto"/>
              </w:rPr>
            </w:pPr>
            <w:r>
              <w:rPr>
                <w:rFonts w:hint="eastAsia"/>
                <w:color w:val="auto"/>
              </w:rPr>
              <w:t>体系</w:t>
            </w:r>
          </w:p>
        </w:tc>
        <w:tc>
          <w:tcPr>
            <w:tcW w:w="2820" w:type="dxa"/>
            <w:gridSpan w:val="2"/>
          </w:tcPr>
          <w:p>
            <w:pPr>
              <w:pStyle w:val="129"/>
              <w:spacing w:before="158"/>
              <w:jc w:val="center"/>
              <w:rPr>
                <w:color w:val="auto"/>
                <w:sz w:val="24"/>
              </w:rPr>
            </w:pPr>
            <w:r>
              <w:rPr>
                <w:rFonts w:hint="eastAsia"/>
                <w:color w:val="auto"/>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rPr>
                <w:color w:val="auto"/>
              </w:rPr>
            </w:pPr>
            <w:r>
              <w:rPr>
                <w:rFonts w:hint="eastAsia"/>
                <w:color w:val="auto"/>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spacing w:val="-2"/>
                <w:szCs w:val="21"/>
              </w:rPr>
              <w:t>参保</w:t>
            </w:r>
            <w:r>
              <w:rPr>
                <w:rFonts w:ascii="宋体" w:hAnsi="宋体" w:eastAsia="宋体" w:cs="宋体"/>
                <w:color w:val="auto"/>
                <w:spacing w:val="-2"/>
                <w:szCs w:val="21"/>
              </w:rPr>
              <w:t>职工总人</w:t>
            </w:r>
            <w:r>
              <w:rPr>
                <w:rFonts w:ascii="宋体" w:hAnsi="宋体" w:eastAsia="宋体" w:cs="宋体"/>
                <w:color w:val="auto"/>
                <w:spacing w:val="-1"/>
                <w:szCs w:val="21"/>
              </w:rPr>
              <w:t>数</w:t>
            </w:r>
          </w:p>
        </w:tc>
        <w:tc>
          <w:tcPr>
            <w:tcW w:w="990" w:type="dxa"/>
            <w:vAlign w:val="center"/>
          </w:tcPr>
          <w:p>
            <w:pPr>
              <w:widowControl/>
              <w:textAlignment w:val="center"/>
              <w:rPr>
                <w:rFonts w:ascii="宋体" w:hAnsi="宋体" w:eastAsia="宋体" w:cs="宋体"/>
                <w:color w:val="auto"/>
                <w:szCs w:val="21"/>
              </w:rPr>
            </w:pPr>
          </w:p>
        </w:tc>
        <w:tc>
          <w:tcPr>
            <w:tcW w:w="1530" w:type="dxa"/>
            <w:vAlign w:val="center"/>
          </w:tcPr>
          <w:p>
            <w:pPr>
              <w:widowControl/>
              <w:jc w:val="center"/>
              <w:textAlignment w:val="center"/>
              <w:rPr>
                <w:rFonts w:ascii="宋体" w:hAnsi="宋体" w:eastAsia="宋体" w:cs="宋体"/>
                <w:color w:val="auto"/>
                <w:szCs w:val="21"/>
              </w:rPr>
            </w:pPr>
            <w:r>
              <w:rPr>
                <w:rFonts w:ascii="宋体" w:hAnsi="宋体" w:eastAsia="宋体" w:cs="宋体"/>
                <w:color w:val="auto"/>
                <w:spacing w:val="-2"/>
                <w:szCs w:val="21"/>
              </w:rPr>
              <w:t>工程技术人</w:t>
            </w:r>
            <w:r>
              <w:rPr>
                <w:rFonts w:ascii="宋体" w:hAnsi="宋体" w:eastAsia="宋体" w:cs="宋体"/>
                <w:color w:val="auto"/>
                <w:spacing w:val="-1"/>
                <w:szCs w:val="21"/>
              </w:rPr>
              <w:t>员</w:t>
            </w:r>
          </w:p>
        </w:tc>
        <w:tc>
          <w:tcPr>
            <w:tcW w:w="1063" w:type="dxa"/>
            <w:vAlign w:val="center"/>
          </w:tcPr>
          <w:p>
            <w:pPr>
              <w:widowControl/>
              <w:jc w:val="center"/>
              <w:textAlignment w:val="center"/>
              <w:rPr>
                <w:rFonts w:ascii="宋体" w:hAnsi="宋体" w:eastAsia="宋体" w:cs="宋体"/>
                <w:color w:val="auto"/>
                <w:szCs w:val="21"/>
              </w:rPr>
            </w:pPr>
          </w:p>
        </w:tc>
        <w:tc>
          <w:tcPr>
            <w:tcW w:w="1097" w:type="dxa"/>
            <w:vAlign w:val="center"/>
          </w:tcPr>
          <w:p>
            <w:pPr>
              <w:widowControl/>
              <w:textAlignment w:val="center"/>
              <w:rPr>
                <w:rFonts w:ascii="宋体" w:hAnsi="宋体" w:eastAsia="宋体" w:cs="宋体"/>
                <w:color w:val="auto"/>
                <w:szCs w:val="21"/>
              </w:rPr>
            </w:pPr>
            <w:r>
              <w:rPr>
                <w:rFonts w:ascii="宋体" w:hAnsi="宋体" w:eastAsia="宋体" w:cs="宋体"/>
                <w:color w:val="auto"/>
                <w:spacing w:val="-3"/>
                <w:szCs w:val="21"/>
              </w:rPr>
              <w:t>生</w:t>
            </w:r>
            <w:r>
              <w:rPr>
                <w:rFonts w:ascii="宋体" w:hAnsi="宋体" w:eastAsia="宋体" w:cs="宋体"/>
                <w:color w:val="auto"/>
                <w:spacing w:val="-2"/>
                <w:szCs w:val="21"/>
              </w:rPr>
              <w:t>产</w:t>
            </w:r>
            <w:r>
              <w:rPr>
                <w:rFonts w:hint="eastAsia" w:ascii="宋体" w:hAnsi="宋体" w:eastAsia="宋体" w:cs="宋体"/>
                <w:color w:val="auto"/>
                <w:spacing w:val="-2"/>
                <w:szCs w:val="21"/>
              </w:rPr>
              <w:t>、销售人员</w:t>
            </w:r>
          </w:p>
        </w:tc>
        <w:tc>
          <w:tcPr>
            <w:tcW w:w="2820" w:type="dxa"/>
            <w:gridSpan w:val="2"/>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企业优势、关键产品特点</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企业行业水平及行业口碑</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color w:val="auto"/>
                <w:szCs w:val="21"/>
              </w:rPr>
            </w:pPr>
            <w:r>
              <w:rPr>
                <w:rFonts w:ascii="宋体" w:hAnsi="宋体" w:eastAsia="宋体" w:cs="宋体"/>
                <w:color w:val="auto"/>
                <w:spacing w:val="-10"/>
                <w:szCs w:val="21"/>
              </w:rPr>
              <w:t>公</w:t>
            </w:r>
            <w:r>
              <w:rPr>
                <w:rFonts w:ascii="宋体" w:hAnsi="宋体" w:eastAsia="宋体" w:cs="宋体"/>
                <w:color w:val="auto"/>
                <w:spacing w:val="-7"/>
                <w:szCs w:val="21"/>
              </w:rPr>
              <w:t>司</w:t>
            </w:r>
            <w:r>
              <w:rPr>
                <w:rFonts w:ascii="宋体" w:hAnsi="宋体" w:eastAsia="宋体" w:cs="宋体"/>
                <w:color w:val="auto"/>
                <w:spacing w:val="-5"/>
                <w:szCs w:val="21"/>
              </w:rPr>
              <w:t>现有主要研发、</w:t>
            </w:r>
            <w:r>
              <w:rPr>
                <w:rFonts w:ascii="宋体" w:hAnsi="宋体" w:eastAsia="宋体" w:cs="宋体"/>
                <w:color w:val="auto"/>
                <w:szCs w:val="21"/>
              </w:rPr>
              <w:t xml:space="preserve"> </w:t>
            </w:r>
            <w:r>
              <w:rPr>
                <w:rFonts w:ascii="宋体" w:hAnsi="宋体" w:eastAsia="宋体" w:cs="宋体"/>
                <w:color w:val="auto"/>
                <w:spacing w:val="-4"/>
                <w:szCs w:val="21"/>
              </w:rPr>
              <w:t>实</w:t>
            </w:r>
            <w:r>
              <w:rPr>
                <w:rFonts w:ascii="宋体" w:hAnsi="宋体" w:eastAsia="宋体" w:cs="宋体"/>
                <w:color w:val="auto"/>
                <w:spacing w:val="-2"/>
                <w:szCs w:val="21"/>
              </w:rPr>
              <w:t>验、生产设备</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售后服务及质量</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color w:val="auto"/>
                <w:kern w:val="0"/>
                <w:szCs w:val="21"/>
                <w:lang w:bidi="ar"/>
              </w:rPr>
            </w:pPr>
            <w:r>
              <w:rPr>
                <w:rFonts w:ascii="宋体" w:hAnsi="宋体" w:eastAsia="宋体" w:cs="宋体"/>
                <w:color w:val="auto"/>
                <w:spacing w:val="-4"/>
                <w:szCs w:val="21"/>
              </w:rPr>
              <w:t>对本项目在设计、制造、进度、财务等方面采取的组织措施和相</w:t>
            </w:r>
            <w:r>
              <w:rPr>
                <w:rFonts w:ascii="宋体" w:hAnsi="宋体" w:eastAsia="宋体" w:cs="宋体"/>
                <w:color w:val="auto"/>
                <w:spacing w:val="-2"/>
                <w:szCs w:val="21"/>
              </w:rPr>
              <w:t>关</w:t>
            </w:r>
            <w:r>
              <w:rPr>
                <w:rFonts w:ascii="宋体" w:hAnsi="宋体" w:eastAsia="宋体" w:cs="宋体"/>
                <w:color w:val="auto"/>
                <w:spacing w:val="-3"/>
                <w:szCs w:val="21"/>
              </w:rPr>
              <w:t>人</w:t>
            </w:r>
            <w:r>
              <w:rPr>
                <w:rFonts w:ascii="宋体" w:hAnsi="宋体" w:eastAsia="宋体" w:cs="宋体"/>
                <w:color w:val="auto"/>
                <w:spacing w:val="-2"/>
                <w:szCs w:val="21"/>
              </w:rPr>
              <w:t>员简介</w:t>
            </w:r>
          </w:p>
        </w:tc>
        <w:tc>
          <w:tcPr>
            <w:tcW w:w="7500" w:type="dxa"/>
            <w:gridSpan w:val="6"/>
            <w:vAlign w:val="center"/>
          </w:tcPr>
          <w:p>
            <w:pPr>
              <w:widowControl/>
              <w:jc w:val="left"/>
              <w:rPr>
                <w:rFonts w:ascii="宋体" w:hAnsi="宋体" w:eastAsia="宋体" w:cs="宋体"/>
                <w:color w:val="auto"/>
                <w:kern w:val="0"/>
                <w:szCs w:val="21"/>
                <w:lang w:bidi="ar"/>
              </w:rPr>
            </w:pPr>
          </w:p>
        </w:tc>
      </w:tr>
    </w:tbl>
    <w:p>
      <w:pPr>
        <w:pStyle w:val="16"/>
        <w:framePr w:wrap="around" w:vAnchor="text" w:hAnchor="page" w:x="1210" w:y="-795"/>
        <w:ind w:left="0" w:leftChars="0" w:firstLine="0" w:firstLineChars="0"/>
        <w:rPr>
          <w:color w:val="auto"/>
        </w:rPr>
      </w:pPr>
    </w:p>
    <w:p>
      <w:pPr>
        <w:pStyle w:val="16"/>
        <w:framePr w:wrap="around" w:vAnchor="text" w:hAnchor="page" w:x="1210" w:y="-795"/>
        <w:rPr>
          <w:color w:val="auto"/>
        </w:rPr>
      </w:pPr>
    </w:p>
    <w:p>
      <w:pPr>
        <w:pStyle w:val="16"/>
        <w:framePr w:wrap="around" w:vAnchor="text" w:hAnchor="page" w:x="1210" w:y="-795"/>
        <w:rPr>
          <w:color w:val="auto"/>
        </w:rPr>
      </w:pPr>
    </w:p>
    <w:p>
      <w:pPr>
        <w:pStyle w:val="16"/>
        <w:framePr w:wrap="around" w:vAnchor="text" w:hAnchor="page" w:x="1210" w:y="-795"/>
        <w:ind w:left="0" w:leftChars="0" w:firstLine="0" w:firstLineChars="0"/>
        <w:rPr>
          <w:color w:val="auto"/>
          <w:spacing w:val="-9"/>
          <w14:textOutline w14:w="4356" w14:cap="flat" w14:cmpd="sng" w14:algn="ctr">
            <w14:solidFill>
              <w14:srgbClr w14:val="000000"/>
            </w14:solidFill>
            <w14:prstDash w14:val="solid"/>
            <w14:miter w14:val="0"/>
          </w14:textOutline>
        </w:rPr>
      </w:pPr>
    </w:p>
    <w:p>
      <w:pPr>
        <w:pStyle w:val="16"/>
        <w:framePr w:wrap="around" w:vAnchor="text" w:hAnchor="page" w:x="1210" w:y="-795"/>
        <w:ind w:left="0" w:leftChars="0" w:firstLine="0" w:firstLineChars="0"/>
        <w:rPr>
          <w:color w:val="auto"/>
        </w:rPr>
      </w:pPr>
      <w:r>
        <w:rPr>
          <w:color w:val="auto"/>
          <w:spacing w:val="-9"/>
          <w14:textOutline w14:w="4356" w14:cap="flat" w14:cmpd="sng" w14:algn="ctr">
            <w14:solidFill>
              <w14:srgbClr w14:val="000000"/>
            </w14:solidFill>
            <w14:prstDash w14:val="solid"/>
            <w14:miter w14:val="0"/>
          </w14:textOutline>
        </w:rPr>
        <w:t>表</w:t>
      </w:r>
      <w:r>
        <w:rPr>
          <w:color w:val="auto"/>
          <w:spacing w:val="-7"/>
        </w:rPr>
        <w:t xml:space="preserve"> </w:t>
      </w:r>
      <w:r>
        <w:rPr>
          <w:color w:val="auto"/>
          <w:spacing w:val="-7"/>
          <w14:textOutline w14:w="4356" w14:cap="flat" w14:cmpd="sng" w14:algn="ctr">
            <w14:solidFill>
              <w14:srgbClr w14:val="000000"/>
            </w14:solidFill>
            <w14:prstDash w14:val="solid"/>
            <w14:miter w14:val="0"/>
          </w14:textOutline>
        </w:rPr>
        <w:t>2</w:t>
      </w:r>
      <w:r>
        <w:rPr>
          <w:rFonts w:hint="eastAsia"/>
          <w:color w:val="auto"/>
          <w:spacing w:val="-7"/>
          <w14:textOutline w14:w="4356" w14:cap="flat" w14:cmpd="sng" w14:algn="ctr">
            <w14:solidFill>
              <w14:srgbClr w14:val="000000"/>
            </w14:solidFill>
            <w14:prstDash w14:val="solid"/>
            <w14:miter w14:val="0"/>
          </w14:textOutline>
        </w:rPr>
        <w:t xml:space="preserve"> </w:t>
      </w:r>
      <w:r>
        <w:rPr>
          <w:rFonts w:hint="eastAsia"/>
          <w:color w:val="auto"/>
        </w:rPr>
        <w:t>资产情况汇总表</w:t>
      </w:r>
    </w:p>
    <w:tbl>
      <w:tblPr>
        <w:tblStyle w:val="35"/>
        <w:tblpPr w:leftFromText="180" w:rightFromText="180" w:vertAnchor="text" w:horzAnchor="page" w:tblpXSpec="center" w:tblpY="29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color w:val="auto"/>
                <w:szCs w:val="24"/>
              </w:rPr>
            </w:pPr>
            <w:r>
              <w:rPr>
                <w:rFonts w:ascii="宋体" w:hAnsi="宋体" w:eastAsia="宋体"/>
                <w:color w:val="auto"/>
                <w:sz w:val="24"/>
                <w:szCs w:val="24"/>
                <w:u w:val="single"/>
              </w:rPr>
              <w:t xml:space="preserve">                   </w:t>
            </w:r>
            <w:r>
              <w:rPr>
                <w:rFonts w:hint="eastAsia" w:ascii="宋体" w:hAnsi="宋体" w:eastAsia="宋体"/>
                <w:color w:val="auto"/>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注册资金（万元）</w:t>
            </w:r>
          </w:p>
        </w:tc>
        <w:tc>
          <w:tcPr>
            <w:tcW w:w="3865" w:type="dxa"/>
            <w:gridSpan w:val="3"/>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ascii="宋体" w:hAnsi="宋体" w:eastAsia="宋体"/>
                <w:color w:val="auto"/>
                <w:sz w:val="24"/>
                <w:szCs w:val="24"/>
              </w:rPr>
              <w:t>实收资金（万元）</w:t>
            </w:r>
          </w:p>
        </w:tc>
        <w:tc>
          <w:tcPr>
            <w:tcW w:w="3865" w:type="dxa"/>
            <w:gridSpan w:val="3"/>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年度资产情况</w:t>
            </w:r>
          </w:p>
        </w:tc>
        <w:tc>
          <w:tcPr>
            <w:tcW w:w="1287"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2</w:t>
            </w:r>
            <w:r>
              <w:rPr>
                <w:rFonts w:hint="eastAsia" w:ascii="宋体" w:hAnsi="宋体" w:eastAsia="宋体"/>
                <w:color w:val="auto"/>
                <w:sz w:val="24"/>
                <w:szCs w:val="24"/>
              </w:rPr>
              <w:t>年</w:t>
            </w:r>
          </w:p>
        </w:tc>
        <w:tc>
          <w:tcPr>
            <w:tcW w:w="1288"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年</w:t>
            </w:r>
          </w:p>
        </w:tc>
        <w:tc>
          <w:tcPr>
            <w:tcW w:w="1290"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流动资产（万元）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非流动资产（万元）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营业收入（万元）</w:t>
            </w:r>
          </w:p>
        </w:tc>
        <w:tc>
          <w:tcPr>
            <w:tcW w:w="1287" w:type="dxa"/>
          </w:tcPr>
          <w:p>
            <w:pPr>
              <w:spacing w:line="440" w:lineRule="exact"/>
              <w:jc w:val="center"/>
              <w:rPr>
                <w:rFonts w:ascii="宋体" w:hAnsi="宋体"/>
                <w:color w:val="auto"/>
                <w:sz w:val="24"/>
                <w:szCs w:val="24"/>
                <w:highlight w:val="yellow"/>
              </w:rPr>
            </w:pPr>
          </w:p>
        </w:tc>
        <w:tc>
          <w:tcPr>
            <w:tcW w:w="1288" w:type="dxa"/>
          </w:tcPr>
          <w:p>
            <w:pPr>
              <w:spacing w:line="440" w:lineRule="exact"/>
              <w:jc w:val="center"/>
              <w:rPr>
                <w:rFonts w:ascii="宋体" w:hAnsi="宋体"/>
                <w:color w:val="auto"/>
                <w:sz w:val="24"/>
                <w:szCs w:val="24"/>
                <w:highlight w:val="yellow"/>
              </w:rPr>
            </w:pPr>
          </w:p>
        </w:tc>
        <w:tc>
          <w:tcPr>
            <w:tcW w:w="1290" w:type="dxa"/>
          </w:tcPr>
          <w:p>
            <w:pPr>
              <w:spacing w:line="440" w:lineRule="exact"/>
              <w:jc w:val="center"/>
              <w:rPr>
                <w:rFonts w:ascii="宋体" w:hAnsi="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年底资产总值（万元）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年底负债总值（万元）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ascii="宋体" w:hAnsi="宋体" w:eastAsia="宋体"/>
                <w:color w:val="auto"/>
                <w:sz w:val="24"/>
                <w:szCs w:val="24"/>
              </w:rPr>
              <w:t>资产负债率</w:t>
            </w:r>
            <w:r>
              <w:rPr>
                <w:rFonts w:hint="eastAsia" w:ascii="宋体" w:hAnsi="宋体" w:eastAsia="宋体"/>
                <w:color w:val="auto"/>
                <w:sz w:val="24"/>
                <w:szCs w:val="24"/>
              </w:rPr>
              <w:t>（  %）</w:t>
            </w:r>
          </w:p>
        </w:tc>
        <w:tc>
          <w:tcPr>
            <w:tcW w:w="1287" w:type="dxa"/>
          </w:tcPr>
          <w:p>
            <w:pPr>
              <w:spacing w:line="440" w:lineRule="exact"/>
              <w:jc w:val="center"/>
              <w:rPr>
                <w:rFonts w:ascii="宋体" w:hAnsi="宋体"/>
                <w:color w:val="auto"/>
                <w:sz w:val="24"/>
                <w:szCs w:val="24"/>
                <w:highlight w:val="yellow"/>
              </w:rPr>
            </w:pPr>
          </w:p>
        </w:tc>
        <w:tc>
          <w:tcPr>
            <w:tcW w:w="1288" w:type="dxa"/>
          </w:tcPr>
          <w:p>
            <w:pPr>
              <w:spacing w:line="440" w:lineRule="exact"/>
              <w:jc w:val="center"/>
              <w:rPr>
                <w:rFonts w:ascii="宋体" w:hAnsi="宋体"/>
                <w:color w:val="auto"/>
                <w:sz w:val="24"/>
                <w:szCs w:val="24"/>
                <w:highlight w:val="yellow"/>
              </w:rPr>
            </w:pPr>
          </w:p>
        </w:tc>
        <w:tc>
          <w:tcPr>
            <w:tcW w:w="1290" w:type="dxa"/>
          </w:tcPr>
          <w:p>
            <w:pPr>
              <w:spacing w:line="440" w:lineRule="exact"/>
              <w:jc w:val="center"/>
              <w:rPr>
                <w:rFonts w:ascii="宋体" w:hAnsi="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净利润（万元）</w:t>
            </w:r>
          </w:p>
        </w:tc>
        <w:tc>
          <w:tcPr>
            <w:tcW w:w="1287" w:type="dxa"/>
          </w:tcPr>
          <w:p>
            <w:pPr>
              <w:spacing w:line="440" w:lineRule="exact"/>
              <w:jc w:val="center"/>
              <w:rPr>
                <w:rFonts w:ascii="宋体" w:hAnsi="宋体"/>
                <w:color w:val="auto"/>
                <w:sz w:val="24"/>
                <w:szCs w:val="24"/>
                <w:highlight w:val="yellow"/>
              </w:rPr>
            </w:pPr>
          </w:p>
        </w:tc>
        <w:tc>
          <w:tcPr>
            <w:tcW w:w="1288" w:type="dxa"/>
          </w:tcPr>
          <w:p>
            <w:pPr>
              <w:spacing w:line="440" w:lineRule="exact"/>
              <w:jc w:val="center"/>
              <w:rPr>
                <w:rFonts w:ascii="宋体" w:hAnsi="宋体"/>
                <w:color w:val="auto"/>
                <w:sz w:val="24"/>
                <w:szCs w:val="24"/>
                <w:highlight w:val="yellow"/>
              </w:rPr>
            </w:pPr>
          </w:p>
        </w:tc>
        <w:tc>
          <w:tcPr>
            <w:tcW w:w="1290" w:type="dxa"/>
          </w:tcPr>
          <w:p>
            <w:pPr>
              <w:spacing w:line="440" w:lineRule="exact"/>
              <w:jc w:val="center"/>
              <w:rPr>
                <w:rFonts w:ascii="宋体" w:hAnsi="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未分配利润（万元）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营运</w:t>
            </w:r>
            <w:r>
              <w:rPr>
                <w:rFonts w:ascii="宋体" w:hAnsi="宋体" w:eastAsia="宋体"/>
                <w:color w:val="auto"/>
                <w:sz w:val="24"/>
                <w:szCs w:val="24"/>
              </w:rPr>
              <w:t>资</w:t>
            </w:r>
            <w:r>
              <w:rPr>
                <w:rFonts w:hint="eastAsia" w:ascii="宋体" w:hAnsi="宋体" w:eastAsia="宋体"/>
                <w:color w:val="auto"/>
                <w:sz w:val="24"/>
                <w:szCs w:val="24"/>
              </w:rPr>
              <w:t>金</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（本年营业收入-上年营业收入）÷上年营业收入</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bl>
    <w:p>
      <w:pPr>
        <w:pStyle w:val="16"/>
        <w:framePr w:wrap="around" w:vAnchor="text" w:hAnchor="page" w:x="1210" w:y="-795"/>
        <w:rPr>
          <w:color w:val="auto"/>
        </w:rPr>
      </w:pPr>
    </w:p>
    <w:p>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宋体" w:hAnsi="Calibri" w:eastAsia="宋体" w:cs="宋体"/>
          <w:b/>
          <w:bCs/>
          <w:color w:val="auto"/>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附件4</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保密承诺函</w:t>
      </w:r>
    </w:p>
    <w:p>
      <w:pPr>
        <w:spacing w:line="240" w:lineRule="exact"/>
        <w:jc w:val="center"/>
        <w:rPr>
          <w:rFonts w:ascii="宋体" w:hAnsi="Calibri" w:eastAsia="宋体" w:cs="Times New Roman"/>
          <w:b/>
          <w:bCs/>
          <w:color w:val="auto"/>
          <w:sz w:val="36"/>
          <w:szCs w:val="20"/>
        </w:rPr>
      </w:pPr>
    </w:p>
    <w:p>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u w:val="single"/>
        </w:rPr>
        <w:t>特种车公司车间大屏项目土建施工</w:t>
      </w:r>
    </w:p>
    <w:p>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我代表（投标人名称）对招标人的商业秘密作如下承诺：</w:t>
      </w:r>
    </w:p>
    <w:p>
      <w:pPr>
        <w:spacing w:line="360" w:lineRule="auto"/>
        <w:ind w:left="479" w:leftChars="228"/>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pPr>
        <w:rPr>
          <w:rFonts w:ascii="宋体" w:hAnsi="Calibri" w:eastAsia="宋体" w:cs="宋体"/>
          <w:b/>
          <w:bCs/>
          <w:color w:val="auto"/>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rPr>
        <w:t>附件5-1</w:t>
      </w:r>
      <w:r>
        <w:rPr>
          <w:rFonts w:ascii="Times New Roman" w:hAnsi="Times New Roman" w:eastAsia="宋体" w:cs="宋体"/>
          <w:b/>
          <w:bCs/>
          <w:color w:val="auto"/>
          <w:sz w:val="24"/>
          <w:szCs w:val="24"/>
        </w:rPr>
        <w:t xml:space="preserve"> </w:t>
      </w:r>
      <w:r>
        <w:rPr>
          <w:rFonts w:hint="eastAsia" w:ascii="Times New Roman" w:hAnsi="Times New Roman" w:eastAsia="宋体" w:cs="Times New Roman"/>
          <w:b/>
          <w:bCs/>
          <w:color w:val="auto"/>
          <w:sz w:val="24"/>
          <w:szCs w:val="24"/>
        </w:rPr>
        <w:t>技术规格偏离表</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特种车公司车间大屏项目土建施工</w:t>
      </w:r>
      <w:r>
        <w:rPr>
          <w:rFonts w:ascii="宋体" w:hAnsi="宋体" w:eastAsia="宋体" w:cs="Times New Roman"/>
          <w:color w:val="auto"/>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序号</w:t>
            </w:r>
          </w:p>
        </w:tc>
        <w:tc>
          <w:tcPr>
            <w:tcW w:w="3449"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招标要求</w:t>
            </w:r>
          </w:p>
        </w:tc>
        <w:tc>
          <w:tcPr>
            <w:tcW w:w="2414"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响应规格</w:t>
            </w:r>
          </w:p>
        </w:tc>
        <w:tc>
          <w:tcPr>
            <w:tcW w:w="1608"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bl>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rPr>
          <w:rFonts w:ascii="宋体" w:hAnsi="Calibri" w:eastAsia="宋体" w:cs="宋体"/>
          <w:b/>
          <w:bCs/>
          <w:color w:val="auto"/>
          <w:sz w:val="28"/>
          <w:szCs w:val="20"/>
        </w:rPr>
      </w:pPr>
    </w:p>
    <w:p>
      <w:pPr>
        <w:rPr>
          <w:rFonts w:ascii="宋体" w:hAnsi="Calibri" w:eastAsia="宋体" w:cs="宋体"/>
          <w:b/>
          <w:bCs/>
          <w:color w:val="auto"/>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附件6</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 xml:space="preserve"> 202</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年1月1日至今同类项目业绩一览表</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特种车公司车间大屏项目土建施工</w:t>
      </w:r>
      <w:r>
        <w:rPr>
          <w:rFonts w:ascii="宋体" w:hAnsi="宋体" w:eastAsia="宋体" w:cs="Times New Roman"/>
          <w:color w:val="auto"/>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序号</w:t>
            </w:r>
          </w:p>
        </w:tc>
        <w:tc>
          <w:tcPr>
            <w:tcW w:w="2082"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采购单位</w:t>
            </w:r>
          </w:p>
        </w:tc>
        <w:tc>
          <w:tcPr>
            <w:tcW w:w="1355"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项目名称</w:t>
            </w:r>
          </w:p>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（万元）</w:t>
            </w:r>
          </w:p>
        </w:tc>
        <w:tc>
          <w:tcPr>
            <w:tcW w:w="826" w:type="dxa"/>
            <w:vAlign w:val="center"/>
          </w:tcPr>
          <w:p>
            <w:pPr>
              <w:jc w:val="center"/>
              <w:rPr>
                <w:rFonts w:ascii="宋体" w:hAnsi="Times New Roman" w:eastAsia="宋体" w:cs="Times New Roman"/>
                <w:b/>
                <w:color w:val="auto"/>
                <w:szCs w:val="21"/>
              </w:rPr>
            </w:pPr>
            <w:r>
              <w:rPr>
                <w:rFonts w:hint="eastAsia" w:ascii="宋体" w:hAnsi="宋体" w:eastAsia="宋体" w:cs="Times New Roman"/>
                <w:b/>
                <w:color w:val="auto"/>
                <w:szCs w:val="21"/>
              </w:rPr>
              <w:t>数量</w:t>
            </w:r>
          </w:p>
        </w:tc>
        <w:tc>
          <w:tcPr>
            <w:tcW w:w="1320" w:type="dxa"/>
            <w:vAlign w:val="center"/>
          </w:tcPr>
          <w:p>
            <w:pPr>
              <w:jc w:val="center"/>
              <w:rPr>
                <w:rFonts w:ascii="宋体" w:hAnsi="Times New Roman" w:eastAsia="宋体" w:cs="Times New Roman"/>
                <w:b/>
                <w:color w:val="auto"/>
                <w:szCs w:val="21"/>
              </w:rPr>
            </w:pPr>
            <w:r>
              <w:rPr>
                <w:rFonts w:hint="eastAsia" w:ascii="宋体" w:hAnsi="宋体" w:eastAsia="宋体" w:cs="Times New Roman"/>
                <w:b/>
                <w:color w:val="auto"/>
                <w:szCs w:val="21"/>
              </w:rPr>
              <w:t>合同金额</w:t>
            </w:r>
          </w:p>
        </w:tc>
        <w:tc>
          <w:tcPr>
            <w:tcW w:w="1023" w:type="dxa"/>
            <w:vAlign w:val="center"/>
          </w:tcPr>
          <w:p>
            <w:pPr>
              <w:jc w:val="center"/>
              <w:rPr>
                <w:rFonts w:ascii="宋体" w:hAnsi="Times New Roman" w:eastAsia="宋体" w:cs="Times New Roman"/>
                <w:b/>
                <w:color w:val="auto"/>
                <w:szCs w:val="21"/>
              </w:rPr>
            </w:pPr>
            <w:r>
              <w:rPr>
                <w:rFonts w:hint="eastAsia" w:ascii="宋体" w:hAnsi="宋体" w:eastAsia="宋体" w:cs="Times New Roman"/>
                <w:b/>
                <w:color w:val="auto"/>
                <w:szCs w:val="21"/>
              </w:rPr>
              <w:t>合同签订时间</w:t>
            </w:r>
          </w:p>
        </w:tc>
        <w:tc>
          <w:tcPr>
            <w:tcW w:w="1590"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联系人及</w:t>
            </w:r>
          </w:p>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color w:val="auto"/>
                <w:szCs w:val="20"/>
              </w:rPr>
            </w:pPr>
            <w:r>
              <w:rPr>
                <w:rFonts w:ascii="宋体" w:hAnsi="宋体" w:eastAsia="宋体" w:cs="宋体"/>
                <w:color w:val="auto"/>
                <w:sz w:val="24"/>
                <w:szCs w:val="24"/>
                <w:highlight w:val="yellow"/>
              </w:rPr>
              <w:t>20</w:t>
            </w:r>
            <w:r>
              <w:rPr>
                <w:rFonts w:hint="eastAsia" w:ascii="宋体" w:hAnsi="宋体" w:eastAsia="宋体" w:cs="宋体"/>
                <w:color w:val="auto"/>
                <w:sz w:val="24"/>
                <w:szCs w:val="24"/>
                <w:highlight w:val="yellow"/>
              </w:rPr>
              <w:t>2</w:t>
            </w:r>
            <w:r>
              <w:rPr>
                <w:rFonts w:hint="eastAsia" w:ascii="宋体" w:hAnsi="宋体" w:eastAsia="宋体" w:cs="宋体"/>
                <w:color w:val="auto"/>
                <w:sz w:val="24"/>
                <w:szCs w:val="24"/>
                <w:highlight w:val="yellow"/>
                <w:lang w:val="en-US" w:eastAsia="zh-CN"/>
              </w:rPr>
              <w:t>2</w:t>
            </w:r>
            <w:r>
              <w:rPr>
                <w:rFonts w:ascii="宋体" w:hAnsi="宋体" w:eastAsia="宋体" w:cs="宋体"/>
                <w:color w:val="auto"/>
                <w:sz w:val="24"/>
                <w:szCs w:val="24"/>
                <w:highlight w:val="yellow"/>
              </w:rPr>
              <w:t>年1月1日至今所有业绩合同总额汇总（必填）</w:t>
            </w: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bl>
    <w:p>
      <w:pPr>
        <w:spacing w:line="240" w:lineRule="atLeast"/>
        <w:rPr>
          <w:rFonts w:ascii="宋体" w:hAnsi="Calibri" w:eastAsia="宋体" w:cs="Times New Roman"/>
          <w:color w:val="auto"/>
          <w:sz w:val="24"/>
          <w:szCs w:val="20"/>
        </w:rPr>
      </w:pPr>
      <w:r>
        <w:rPr>
          <w:rFonts w:hint="eastAsia" w:ascii="宋体" w:hAnsi="宋体" w:eastAsia="宋体" w:cs="Times New Roman"/>
          <w:color w:val="auto"/>
          <w:sz w:val="24"/>
          <w:szCs w:val="20"/>
        </w:rPr>
        <w:t>注：</w:t>
      </w:r>
      <w:r>
        <w:rPr>
          <w:rFonts w:hint="eastAsia" w:ascii="宋体" w:hAnsi="宋体" w:eastAsia="宋体" w:cs="宋体"/>
          <w:color w:val="auto"/>
          <w:kern w:val="0"/>
          <w:sz w:val="24"/>
          <w:szCs w:val="20"/>
        </w:rPr>
        <w:t>提供2021年1月1日以来同类产品的制造销售业绩（用户名单、联系方式）</w:t>
      </w:r>
      <w:r>
        <w:rPr>
          <w:rFonts w:hint="eastAsia" w:ascii="宋体" w:hAnsi="宋体" w:eastAsia="宋体" w:cs="Times New Roman"/>
          <w:color w:val="auto"/>
          <w:sz w:val="24"/>
          <w:szCs w:val="20"/>
        </w:rPr>
        <w:t>，并附合同复印件。</w:t>
      </w:r>
      <w:r>
        <w:rPr>
          <w:rFonts w:hint="eastAsia" w:ascii="宋体" w:hAnsi="宋体" w:eastAsia="宋体" w:cs="宋体"/>
          <w:color w:val="auto"/>
          <w:kern w:val="0"/>
          <w:sz w:val="24"/>
          <w:szCs w:val="20"/>
        </w:rPr>
        <w:t>该同类项目业绩一览表</w:t>
      </w:r>
      <w:r>
        <w:rPr>
          <w:rFonts w:hint="eastAsia" w:ascii="宋体" w:hAnsi="宋体" w:eastAsia="宋体" w:cs="宋体"/>
          <w:b/>
          <w:bCs/>
          <w:color w:val="auto"/>
          <w:kern w:val="0"/>
          <w:sz w:val="24"/>
          <w:szCs w:val="20"/>
        </w:rPr>
        <w:t>必须如实填写，应全尽全</w:t>
      </w:r>
      <w:r>
        <w:rPr>
          <w:rFonts w:hint="eastAsia" w:ascii="宋体" w:hAnsi="宋体" w:eastAsia="宋体" w:cs="宋体"/>
          <w:color w:val="auto"/>
          <w:kern w:val="0"/>
          <w:sz w:val="24"/>
          <w:szCs w:val="20"/>
        </w:rPr>
        <w:t>；一览表最终的所有业绩</w:t>
      </w:r>
      <w:r>
        <w:rPr>
          <w:rFonts w:hint="eastAsia" w:ascii="宋体" w:hAnsi="宋体" w:eastAsia="宋体" w:cs="宋体"/>
          <w:b/>
          <w:bCs/>
          <w:color w:val="auto"/>
          <w:kern w:val="0"/>
          <w:sz w:val="24"/>
          <w:szCs w:val="20"/>
        </w:rPr>
        <w:t>合同总额汇总必填</w:t>
      </w:r>
      <w:r>
        <w:rPr>
          <w:rFonts w:hint="eastAsia" w:ascii="宋体" w:hAnsi="宋体" w:eastAsia="宋体" w:cs="宋体"/>
          <w:color w:val="auto"/>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rPr>
        <w:t>。</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宋体" w:hAnsi="Calibri" w:eastAsia="宋体" w:cs="宋体"/>
          <w:b/>
          <w:bCs/>
          <w:color w:val="auto"/>
          <w:sz w:val="28"/>
        </w:rPr>
      </w:pPr>
    </w:p>
    <w:p>
      <w:pPr>
        <w:rPr>
          <w:rFonts w:ascii="宋体" w:hAnsi="Calibri" w:eastAsia="宋体" w:cs="宋体"/>
          <w:b/>
          <w:bCs/>
          <w:color w:val="auto"/>
          <w:sz w:val="28"/>
        </w:rPr>
        <w:sectPr>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附件7</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设备质量承诺函</w:t>
      </w:r>
    </w:p>
    <w:p>
      <w:pPr>
        <w:spacing w:line="240" w:lineRule="exact"/>
        <w:rPr>
          <w:rFonts w:ascii="宋体" w:hAnsi="宋体" w:eastAsia="宋体" w:cs="Times New Roman"/>
          <w:color w:val="auto"/>
          <w:szCs w:val="20"/>
        </w:rPr>
      </w:pPr>
      <w:r>
        <w:rPr>
          <w:rFonts w:ascii="宋体" w:hAnsi="宋体" w:eastAsia="宋体" w:cs="Times New Roman"/>
          <w:color w:val="auto"/>
          <w:szCs w:val="20"/>
        </w:rPr>
        <w:t xml:space="preserve">                                               </w:t>
      </w:r>
    </w:p>
    <w:p>
      <w:pPr>
        <w:spacing w:line="360" w:lineRule="auto"/>
        <w:rPr>
          <w:rFonts w:ascii="宋体" w:hAnsi="宋体" w:eastAsia="宋体" w:cs="Times New Roman"/>
          <w:color w:val="auto"/>
          <w:sz w:val="24"/>
          <w:szCs w:val="20"/>
          <w:u w:val="single"/>
        </w:rPr>
      </w:pPr>
      <w:r>
        <w:rPr>
          <w:rFonts w:hint="eastAsia" w:ascii="宋体" w:hAnsi="宋体" w:eastAsia="宋体" w:cs="Times New Roman"/>
          <w:color w:val="auto"/>
          <w:sz w:val="24"/>
          <w:szCs w:val="20"/>
        </w:rPr>
        <w:t>项目名称</w:t>
      </w:r>
      <w:r>
        <w:rPr>
          <w:rFonts w:ascii="宋体" w:hAnsi="宋体" w:eastAsia="宋体" w:cs="Times New Roman"/>
          <w:color w:val="auto"/>
          <w:sz w:val="24"/>
          <w:szCs w:val="20"/>
        </w:rPr>
        <w:t xml:space="preserve">: </w:t>
      </w:r>
      <w:r>
        <w:rPr>
          <w:rFonts w:hint="eastAsia" w:ascii="宋体" w:hAnsi="宋体" w:eastAsia="宋体" w:cs="宋体"/>
          <w:color w:val="auto"/>
          <w:sz w:val="24"/>
          <w:szCs w:val="24"/>
          <w:u w:val="single"/>
        </w:rPr>
        <w:t>特种车公司车间大屏项目土建施工</w:t>
      </w:r>
    </w:p>
    <w:p>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pPr>
        <w:spacing w:line="360" w:lineRule="auto"/>
        <w:ind w:firstLine="480" w:firstLineChars="200"/>
        <w:rPr>
          <w:rFonts w:ascii="宋体" w:hAnsi="Calibri" w:eastAsia="宋体" w:cs="Times New Roman"/>
          <w:color w:val="auto"/>
          <w:sz w:val="24"/>
          <w:szCs w:val="20"/>
        </w:rPr>
      </w:pPr>
      <w:r>
        <w:rPr>
          <w:rFonts w:hint="eastAsia" w:ascii="宋体" w:hAnsi="宋体" w:eastAsia="宋体" w:cs="Times New Roman"/>
          <w:color w:val="auto"/>
          <w:sz w:val="24"/>
          <w:szCs w:val="20"/>
        </w:rPr>
        <w:t>我代表</w:t>
      </w:r>
      <w:r>
        <w:rPr>
          <w:rFonts w:ascii="宋体" w:hAnsi="宋体" w:eastAsia="宋体" w:cs="Times New Roman"/>
          <w:color w:val="auto"/>
          <w:sz w:val="24"/>
          <w:szCs w:val="20"/>
        </w:rPr>
        <w:t>(</w:t>
      </w:r>
      <w:r>
        <w:rPr>
          <w:rFonts w:hint="eastAsia" w:ascii="宋体" w:hAnsi="宋体" w:eastAsia="宋体" w:cs="Times New Roman"/>
          <w:color w:val="auto"/>
          <w:sz w:val="24"/>
          <w:szCs w:val="20"/>
        </w:rPr>
        <w:t>投标人名称</w:t>
      </w:r>
      <w:r>
        <w:rPr>
          <w:rFonts w:ascii="宋体" w:hAnsi="宋体" w:eastAsia="宋体" w:cs="Times New Roman"/>
          <w:color w:val="auto"/>
          <w:sz w:val="24"/>
          <w:szCs w:val="20"/>
        </w:rPr>
        <w:t>)</w:t>
      </w:r>
      <w:r>
        <w:rPr>
          <w:rFonts w:hint="eastAsia" w:ascii="宋体" w:hAnsi="宋体" w:eastAsia="宋体" w:cs="Times New Roman"/>
          <w:color w:val="auto"/>
          <w:sz w:val="24"/>
          <w:szCs w:val="20"/>
        </w:rPr>
        <w:t>为保证中标产品的质量特作如下承诺：</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left="480"/>
        <w:rPr>
          <w:rFonts w:ascii="宋体" w:hAnsi="宋体" w:eastAsia="宋体" w:cs="Times New Roman"/>
          <w:color w:val="auto"/>
          <w:sz w:val="24"/>
          <w:szCs w:val="20"/>
        </w:rPr>
      </w:pPr>
      <w:r>
        <w:rPr>
          <w:rFonts w:ascii="宋体" w:hAnsi="宋体" w:eastAsia="宋体" w:cs="Times New Roman"/>
          <w:color w:val="auto"/>
          <w:sz w:val="24"/>
          <w:szCs w:val="20"/>
        </w:rPr>
        <w:t xml:space="preserve">                           </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宋体" w:hAnsi="Calibri" w:eastAsia="宋体" w:cs="宋体"/>
          <w:b/>
          <w:bCs/>
          <w:color w:val="auto"/>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附件8</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开标一览表</w:t>
      </w:r>
    </w:p>
    <w:p>
      <w:pPr>
        <w:spacing w:line="360" w:lineRule="auto"/>
        <w:ind w:firstLine="482" w:firstLineChars="200"/>
        <w:rPr>
          <w:rFonts w:ascii="宋体" w:hAnsi="宋体" w:eastAsia="宋体" w:cs="Times New Roman"/>
          <w:b/>
          <w:color w:val="auto"/>
          <w:sz w:val="24"/>
          <w:szCs w:val="24"/>
        </w:rPr>
      </w:pPr>
      <w:r>
        <w:rPr>
          <w:rFonts w:hint="eastAsia" w:ascii="宋体" w:hAnsi="宋体" w:eastAsia="宋体" w:cs="Times New Roman"/>
          <w:b/>
          <w:color w:val="auto"/>
          <w:sz w:val="24"/>
          <w:szCs w:val="24"/>
        </w:rPr>
        <w:t>《开标一览表》单独封存，以备唱标使用</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特种车公司车间大屏项目土建施工</w:t>
      </w:r>
      <w:r>
        <w:rPr>
          <w:rFonts w:ascii="宋体" w:hAnsi="宋体" w:eastAsia="宋体" w:cs="Times New Roman"/>
          <w:color w:val="auto"/>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序号</w:t>
            </w:r>
          </w:p>
        </w:tc>
        <w:tc>
          <w:tcPr>
            <w:tcW w:w="1518"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货物名称</w:t>
            </w:r>
          </w:p>
        </w:tc>
        <w:tc>
          <w:tcPr>
            <w:tcW w:w="848"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数量</w:t>
            </w:r>
          </w:p>
        </w:tc>
        <w:tc>
          <w:tcPr>
            <w:tcW w:w="2270"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投标总价</w:t>
            </w:r>
            <w:r>
              <w:rPr>
                <w:rFonts w:hint="eastAsia" w:ascii="等线" w:hAnsi="等线" w:eastAsia="等线" w:cs="Times New Roman"/>
                <w:b/>
                <w:color w:val="auto"/>
                <w:szCs w:val="20"/>
              </w:rPr>
              <w:t>（元）</w:t>
            </w:r>
          </w:p>
        </w:tc>
        <w:tc>
          <w:tcPr>
            <w:tcW w:w="1100"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质保期</w:t>
            </w:r>
          </w:p>
        </w:tc>
        <w:tc>
          <w:tcPr>
            <w:tcW w:w="1243"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交货及安装</w:t>
            </w:r>
          </w:p>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时间</w:t>
            </w:r>
          </w:p>
        </w:tc>
        <w:tc>
          <w:tcPr>
            <w:tcW w:w="705" w:type="dxa"/>
            <w:vAlign w:val="center"/>
          </w:tcPr>
          <w:p>
            <w:pPr>
              <w:jc w:val="center"/>
              <w:rPr>
                <w:rFonts w:ascii="Times New Roman" w:hAnsi="Times New Roman" w:eastAsia="宋体" w:cs="Times New Roman"/>
                <w:b/>
                <w:color w:val="auto"/>
                <w:szCs w:val="20"/>
              </w:rPr>
            </w:pPr>
            <w:r>
              <w:rPr>
                <w:rFonts w:hint="eastAsia" w:ascii="等线" w:hAnsi="等线" w:eastAsia="等线" w:cs="Times New Roman"/>
                <w:b/>
                <w:color w:val="auto"/>
                <w:szCs w:val="20"/>
              </w:rPr>
              <w:t>付款方式及比例如何响应</w:t>
            </w:r>
          </w:p>
        </w:tc>
        <w:tc>
          <w:tcPr>
            <w:tcW w:w="699" w:type="dxa"/>
            <w:vAlign w:val="center"/>
          </w:tcPr>
          <w:p>
            <w:pPr>
              <w:jc w:val="center"/>
              <w:rPr>
                <w:rFonts w:ascii="等线" w:hAnsi="等线" w:eastAsia="等线" w:cs="Times New Roman"/>
                <w:b/>
                <w:color w:val="auto"/>
                <w:szCs w:val="20"/>
              </w:rPr>
            </w:pPr>
            <w:r>
              <w:rPr>
                <w:rFonts w:hint="eastAsia" w:ascii="等线" w:hAnsi="等线" w:eastAsia="等线" w:cs="Times New Roman"/>
                <w:b/>
                <w:color w:val="auto"/>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34" w:hRule="atLeast"/>
          <w:jc w:val="center"/>
        </w:trPr>
        <w:tc>
          <w:tcPr>
            <w:tcW w:w="677" w:type="dxa"/>
            <w:vAlign w:val="center"/>
          </w:tcPr>
          <w:p>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1</w:t>
            </w:r>
          </w:p>
        </w:tc>
        <w:tc>
          <w:tcPr>
            <w:tcW w:w="1518"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特种车公司</w:t>
            </w:r>
            <w:r>
              <w:rPr>
                <w:rFonts w:hint="eastAsia" w:ascii="宋体" w:hAnsi="宋体" w:eastAsia="宋体" w:cs="宋体"/>
                <w:color w:val="auto"/>
                <w:sz w:val="24"/>
                <w:szCs w:val="24"/>
                <w:u w:val="single"/>
              </w:rPr>
              <w:t>车间大屏项目土建施工</w:t>
            </w:r>
          </w:p>
        </w:tc>
        <w:tc>
          <w:tcPr>
            <w:tcW w:w="848" w:type="dxa"/>
            <w:vAlign w:val="center"/>
          </w:tcPr>
          <w:p>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1</w:t>
            </w:r>
            <w:r>
              <w:rPr>
                <w:rFonts w:hint="eastAsia" w:ascii="Times New Roman" w:hAnsi="Times New Roman" w:eastAsia="宋体" w:cs="Times New Roman"/>
                <w:b/>
                <w:color w:val="auto"/>
                <w:szCs w:val="20"/>
              </w:rPr>
              <w:t>处</w:t>
            </w:r>
          </w:p>
        </w:tc>
        <w:tc>
          <w:tcPr>
            <w:tcW w:w="2270" w:type="dxa"/>
            <w:vAlign w:val="center"/>
          </w:tcPr>
          <w:p>
            <w:pPr>
              <w:jc w:val="center"/>
              <w:rPr>
                <w:rFonts w:ascii="等线" w:hAnsi="等线" w:eastAsia="等线" w:cs="Times New Roman"/>
                <w:b/>
                <w:color w:val="auto"/>
                <w:szCs w:val="20"/>
              </w:rPr>
            </w:pPr>
            <w:r>
              <w:rPr>
                <w:rFonts w:hint="eastAsia" w:ascii="等线" w:hAnsi="等线" w:eastAsia="等线" w:cs="Times New Roman"/>
                <w:b/>
                <w:color w:val="auto"/>
                <w:szCs w:val="20"/>
              </w:rPr>
              <w:t>不含税价：</w:t>
            </w:r>
          </w:p>
          <w:p>
            <w:pPr>
              <w:jc w:val="center"/>
              <w:rPr>
                <w:rFonts w:ascii="等线" w:hAnsi="等线" w:eastAsia="等线" w:cs="Times New Roman"/>
                <w:b/>
                <w:color w:val="auto"/>
                <w:szCs w:val="20"/>
              </w:rPr>
            </w:pPr>
            <w:r>
              <w:rPr>
                <w:rFonts w:hint="eastAsia" w:ascii="等线" w:hAnsi="等线" w:eastAsia="等线" w:cs="Times New Roman"/>
                <w:b/>
                <w:color w:val="auto"/>
                <w:szCs w:val="20"/>
              </w:rPr>
              <w:t>含税价格：</w:t>
            </w:r>
            <w:r>
              <w:rPr>
                <w:rFonts w:hint="eastAsia" w:ascii="等线" w:hAnsi="等线" w:eastAsia="等线" w:cs="Times New Roman"/>
                <w:b/>
                <w:color w:val="auto"/>
                <w:szCs w:val="20"/>
                <w:u w:val="single"/>
              </w:rPr>
              <w:t xml:space="preserve">    （大写：    ）</w:t>
            </w:r>
          </w:p>
          <w:p>
            <w:pPr>
              <w:jc w:val="center"/>
              <w:rPr>
                <w:rFonts w:ascii="Times New Roman" w:hAnsi="Times New Roman" w:eastAsia="宋体" w:cs="Times New Roman"/>
                <w:b/>
                <w:color w:val="auto"/>
                <w:szCs w:val="20"/>
              </w:rPr>
            </w:pPr>
            <w:r>
              <w:rPr>
                <w:rFonts w:hint="eastAsia" w:ascii="等线" w:hAnsi="等线" w:eastAsia="等线" w:cs="Times New Roman"/>
                <w:b/>
                <w:color w:val="auto"/>
                <w:szCs w:val="20"/>
              </w:rPr>
              <w:t>税率：</w:t>
            </w:r>
          </w:p>
        </w:tc>
        <w:tc>
          <w:tcPr>
            <w:tcW w:w="1100" w:type="dxa"/>
            <w:vAlign w:val="center"/>
          </w:tcPr>
          <w:p>
            <w:pPr>
              <w:jc w:val="center"/>
              <w:rPr>
                <w:rFonts w:ascii="Times New Roman" w:hAnsi="Times New Roman" w:eastAsia="宋体" w:cs="Times New Roman"/>
                <w:b/>
                <w:color w:val="auto"/>
                <w:szCs w:val="20"/>
              </w:rPr>
            </w:pPr>
          </w:p>
        </w:tc>
        <w:tc>
          <w:tcPr>
            <w:tcW w:w="1243" w:type="dxa"/>
            <w:vAlign w:val="center"/>
          </w:tcPr>
          <w:p>
            <w:pPr>
              <w:jc w:val="center"/>
              <w:rPr>
                <w:rFonts w:ascii="Times New Roman" w:hAnsi="Times New Roman" w:eastAsia="宋体" w:cs="Times New Roman"/>
                <w:b/>
                <w:color w:val="auto"/>
                <w:szCs w:val="20"/>
              </w:rPr>
            </w:pPr>
          </w:p>
        </w:tc>
        <w:tc>
          <w:tcPr>
            <w:tcW w:w="705" w:type="dxa"/>
            <w:vAlign w:val="center"/>
          </w:tcPr>
          <w:p>
            <w:pPr>
              <w:jc w:val="center"/>
              <w:rPr>
                <w:rFonts w:ascii="Times New Roman" w:hAnsi="Times New Roman" w:eastAsia="宋体" w:cs="Times New Roman"/>
                <w:b/>
                <w:color w:val="auto"/>
                <w:szCs w:val="20"/>
              </w:rPr>
            </w:pPr>
          </w:p>
        </w:tc>
        <w:tc>
          <w:tcPr>
            <w:tcW w:w="699" w:type="dxa"/>
            <w:vAlign w:val="center"/>
          </w:tcPr>
          <w:p>
            <w:pPr>
              <w:jc w:val="center"/>
              <w:rPr>
                <w:rFonts w:ascii="Times New Roman" w:hAnsi="Times New Roman" w:eastAsia="宋体" w:cs="Times New Roman"/>
                <w:b/>
                <w:color w:val="auto"/>
                <w:szCs w:val="20"/>
              </w:rPr>
            </w:pPr>
          </w:p>
        </w:tc>
      </w:tr>
    </w:tbl>
    <w:p>
      <w:pPr>
        <w:rPr>
          <w:rFonts w:ascii="宋体" w:hAnsi="Arial" w:eastAsia="宋体" w:cs="Times New Roman"/>
          <w:color w:val="auto"/>
          <w:sz w:val="24"/>
          <w:szCs w:val="24"/>
        </w:rPr>
      </w:pPr>
    </w:p>
    <w:p>
      <w:pPr>
        <w:spacing w:line="400" w:lineRule="exact"/>
        <w:rPr>
          <w:rFonts w:ascii="宋体" w:hAnsi="Calibri" w:eastAsia="宋体" w:cs="Times New Roman"/>
          <w:color w:val="auto"/>
          <w:szCs w:val="21"/>
        </w:rPr>
      </w:pPr>
      <w:r>
        <w:rPr>
          <w:rFonts w:hint="eastAsia" w:ascii="宋体" w:hAnsi="宋体" w:eastAsia="宋体" w:cs="Times New Roman"/>
          <w:b/>
          <w:bCs/>
          <w:color w:val="auto"/>
          <w:szCs w:val="21"/>
        </w:rPr>
        <w:t>注：</w:t>
      </w:r>
    </w:p>
    <w:p>
      <w:pPr>
        <w:spacing w:line="520" w:lineRule="exact"/>
        <w:rPr>
          <w:rFonts w:ascii="宋体" w:hAnsi="Calibri" w:eastAsia="宋体" w:cs="Times New Roman"/>
          <w:b/>
          <w:bCs/>
          <w:color w:val="auto"/>
          <w:szCs w:val="21"/>
        </w:rPr>
      </w:pPr>
      <w:r>
        <w:rPr>
          <w:rFonts w:ascii="宋体" w:hAnsi="宋体" w:eastAsia="宋体" w:cs="Times New Roman"/>
          <w:b/>
          <w:bCs/>
          <w:color w:val="auto"/>
          <w:szCs w:val="21"/>
        </w:rPr>
        <w:t>1</w:t>
      </w:r>
      <w:r>
        <w:rPr>
          <w:rFonts w:hint="eastAsia" w:ascii="宋体" w:hAnsi="宋体" w:eastAsia="宋体" w:cs="Times New Roman"/>
          <w:b/>
          <w:bCs/>
          <w:color w:val="auto"/>
          <w:szCs w:val="21"/>
        </w:rPr>
        <w:t>.此表中的报价必须与相应的报价明细表中的报价一致。</w:t>
      </w:r>
    </w:p>
    <w:p>
      <w:pPr>
        <w:spacing w:line="300" w:lineRule="auto"/>
        <w:rPr>
          <w:rFonts w:ascii="宋体" w:hAnsi="Calibri" w:eastAsia="宋体" w:cs="Times New Roman"/>
          <w:b/>
          <w:bCs/>
          <w:color w:val="auto"/>
          <w:szCs w:val="21"/>
        </w:rPr>
      </w:pPr>
      <w:r>
        <w:rPr>
          <w:rFonts w:ascii="宋体" w:hAnsi="宋体" w:eastAsia="宋体" w:cs="Times New Roman"/>
          <w:b/>
          <w:bCs/>
          <w:color w:val="auto"/>
          <w:szCs w:val="21"/>
        </w:rPr>
        <w:t>2</w:t>
      </w:r>
      <w:r>
        <w:rPr>
          <w:rFonts w:hint="eastAsia" w:ascii="宋体" w:hAnsi="宋体" w:eastAsia="宋体" w:cs="Times New Roman"/>
          <w:b/>
          <w:bCs/>
          <w:color w:val="auto"/>
          <w:szCs w:val="21"/>
        </w:rPr>
        <w:t>.此表在投递标书时请单独密封两份，否则不予唱标。</w:t>
      </w:r>
    </w:p>
    <w:p>
      <w:pPr>
        <w:spacing w:line="300" w:lineRule="auto"/>
        <w:rPr>
          <w:rFonts w:ascii="宋体" w:hAnsi="宋体" w:eastAsia="宋体" w:cs="宋体"/>
          <w:b/>
          <w:color w:val="auto"/>
          <w:szCs w:val="20"/>
        </w:rPr>
      </w:pPr>
      <w:r>
        <w:rPr>
          <w:rFonts w:hint="eastAsia" w:ascii="宋体" w:hAnsi="宋体" w:eastAsia="宋体" w:cs="宋体"/>
          <w:b/>
          <w:color w:val="auto"/>
          <w:szCs w:val="20"/>
        </w:rPr>
        <w:t>3.需写明含税价、不含税价格、税率。</w:t>
      </w:r>
    </w:p>
    <w:p>
      <w:pPr>
        <w:pStyle w:val="16"/>
        <w:framePr w:wrap="around"/>
        <w:rPr>
          <w:color w:val="auto"/>
          <w:highlight w:val="yellow"/>
        </w:rPr>
      </w:pPr>
      <w:r>
        <w:rPr>
          <w:rFonts w:hint="eastAsia"/>
          <w:color w:val="auto"/>
          <w:szCs w:val="20"/>
          <w:highlight w:val="yellow"/>
        </w:rPr>
        <w:t>4.</w:t>
      </w:r>
      <w:r>
        <w:rPr>
          <w:rFonts w:hint="eastAsia"/>
          <w:color w:val="auto"/>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ind w:firstLine="480"/>
        <w:rPr>
          <w:rFonts w:ascii="宋体" w:hAnsi="Calibri" w:eastAsia="宋体" w:cs="Times New Roman"/>
          <w:color w:val="auto"/>
          <w:sz w:val="24"/>
          <w:szCs w:val="24"/>
        </w:rPr>
      </w:pPr>
    </w:p>
    <w:p>
      <w:pPr>
        <w:pStyle w:val="16"/>
        <w:framePr w:wrap="around"/>
        <w:rPr>
          <w:color w:val="auto"/>
        </w:rPr>
        <w:sectPr>
          <w:pgSz w:w="11906" w:h="16838"/>
          <w:pgMar w:top="1588" w:right="1418" w:bottom="1134" w:left="1418" w:header="851" w:footer="992" w:gutter="0"/>
          <w:cols w:space="720" w:num="1"/>
          <w:titlePg/>
          <w:docGrid w:type="lines" w:linePitch="312" w:charSpace="0"/>
        </w:sectPr>
      </w:pPr>
    </w:p>
    <w:p>
      <w:pPr>
        <w:rPr>
          <w:rFonts w:ascii="宋体" w:hAnsi="宋体" w:cs="宋体"/>
          <w:color w:val="auto"/>
          <w:sz w:val="24"/>
          <w:szCs w:val="24"/>
        </w:rPr>
      </w:pPr>
    </w:p>
    <w:p>
      <w:pPr>
        <w:pStyle w:val="4"/>
        <w:jc w:val="left"/>
        <w:rPr>
          <w:rFonts w:ascii="宋体" w:hAnsi="宋体" w:cs="宋体"/>
          <w:color w:val="auto"/>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rPr>
        <w:t xml:space="preserve">附件9 </w:t>
      </w:r>
      <w:r>
        <w:rPr>
          <w:rFonts w:ascii="宋体" w:hAnsi="宋体" w:cs="宋体"/>
          <w:color w:val="auto"/>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14:textOutline w14:w="5791" w14:cap="flat" w14:cmpd="sng" w14:algn="ctr">
            <w14:solidFill>
              <w14:srgbClr w14:val="000000"/>
            </w14:solidFill>
            <w14:prstDash w14:val="solid"/>
            <w14:miter w14:val="0"/>
          </w14:textOutline>
        </w:rPr>
        <w:t>备分项报价表</w:t>
      </w:r>
    </w:p>
    <w:p>
      <w:pPr>
        <w:pStyle w:val="5"/>
        <w:rPr>
          <w:color w:val="auto"/>
        </w:rPr>
      </w:pPr>
      <w:r>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rPr>
        <w:t xml:space="preserve"> </w:t>
      </w:r>
      <w:r>
        <w:rPr>
          <w:rFonts w:hint="eastAsia" w:ascii="宋体" w:hAnsi="宋体" w:eastAsia="宋体" w:cs="宋体"/>
          <w:color w:val="auto"/>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color w:val="auto"/>
          <w:sz w:val="24"/>
          <w:szCs w:val="24"/>
        </w:rPr>
      </w:pPr>
      <w:r>
        <w:rPr>
          <w:rFonts w:ascii="宋体" w:hAnsi="宋体" w:eastAsia="宋体" w:cs="宋体"/>
          <w:color w:val="auto"/>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color w:val="auto"/>
          <w:sz w:val="24"/>
          <w:szCs w:val="24"/>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318"/>
        <w:gridCol w:w="3555"/>
        <w:gridCol w:w="645"/>
        <w:gridCol w:w="1125"/>
        <w:gridCol w:w="1695"/>
        <w:gridCol w:w="1746"/>
        <w:gridCol w:w="1892"/>
        <w:gridCol w:w="1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1</w:t>
            </w:r>
          </w:p>
        </w:tc>
        <w:tc>
          <w:tcPr>
            <w:tcW w:w="1766" w:type="dxa"/>
            <w:gridSpan w:val="2"/>
          </w:tcPr>
          <w:p>
            <w:pPr>
              <w:spacing w:before="98" w:line="185" w:lineRule="auto"/>
              <w:ind w:left="1071"/>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2</w:t>
            </w:r>
          </w:p>
        </w:tc>
        <w:tc>
          <w:tcPr>
            <w:tcW w:w="3555" w:type="dxa"/>
          </w:tcPr>
          <w:p>
            <w:pPr>
              <w:spacing w:before="99" w:line="183" w:lineRule="auto"/>
              <w:ind w:left="107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3</w:t>
            </w:r>
          </w:p>
        </w:tc>
        <w:tc>
          <w:tcPr>
            <w:tcW w:w="645" w:type="dxa"/>
          </w:tcPr>
          <w:p>
            <w:pPr>
              <w:spacing w:before="98" w:line="185" w:lineRule="auto"/>
              <w:ind w:left="511"/>
              <w:rPr>
                <w:rFonts w:ascii="宋体" w:hAnsi="宋体" w:eastAsia="宋体" w:cs="宋体"/>
                <w:color w:val="auto"/>
                <w:szCs w:val="21"/>
                <w14:textOutline w14:w="3835" w14:cap="flat" w14:cmpd="sng" w14:algn="ctr">
                  <w14:solidFill>
                    <w14:srgbClr w14:val="000000"/>
                  </w14:solidFill>
                  <w14:prstDash w14:val="solid"/>
                  <w14:miter w14:val="0"/>
                </w14:textOutline>
              </w:rPr>
            </w:pPr>
            <w:r>
              <w:rPr>
                <w:rFonts w:ascii="宋体" w:hAnsi="宋体" w:eastAsia="宋体" w:cs="宋体"/>
                <w:color w:val="auto"/>
                <w:szCs w:val="21"/>
                <w14:textOutline w14:w="3835" w14:cap="flat" w14:cmpd="sng" w14:algn="ctr">
                  <w14:solidFill>
                    <w14:srgbClr w14:val="000000"/>
                  </w14:solidFill>
                  <w14:prstDash w14:val="solid"/>
                  <w14:miter w14:val="0"/>
                </w14:textOutline>
              </w:rPr>
              <w:t>4</w:t>
            </w:r>
          </w:p>
        </w:tc>
        <w:tc>
          <w:tcPr>
            <w:tcW w:w="1125" w:type="dxa"/>
          </w:tcPr>
          <w:p>
            <w:pPr>
              <w:spacing w:before="100" w:line="182" w:lineRule="auto"/>
              <w:jc w:val="center"/>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5</w:t>
            </w:r>
          </w:p>
        </w:tc>
        <w:tc>
          <w:tcPr>
            <w:tcW w:w="1695" w:type="dxa"/>
          </w:tcPr>
          <w:p>
            <w:pPr>
              <w:spacing w:before="98" w:line="185" w:lineRule="auto"/>
              <w:jc w:val="center"/>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6</w:t>
            </w:r>
          </w:p>
        </w:tc>
        <w:tc>
          <w:tcPr>
            <w:tcW w:w="1746" w:type="dxa"/>
            <w:tcBorders>
              <w:right w:val="single" w:color="000000" w:sz="4" w:space="0"/>
            </w:tcBorders>
          </w:tcPr>
          <w:p>
            <w:pPr>
              <w:spacing w:before="98" w:line="185" w:lineRule="auto"/>
              <w:jc w:val="center"/>
              <w:rPr>
                <w:rFonts w:ascii="宋体" w:hAnsi="宋体" w:eastAsia="宋体" w:cs="宋体"/>
                <w:color w:val="auto"/>
                <w:szCs w:val="21"/>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7</w:t>
            </w:r>
          </w:p>
        </w:tc>
        <w:tc>
          <w:tcPr>
            <w:tcW w:w="1892" w:type="dxa"/>
            <w:tcBorders>
              <w:left w:val="single" w:color="000000" w:sz="4" w:space="0"/>
            </w:tcBorders>
          </w:tcPr>
          <w:p>
            <w:pPr>
              <w:spacing w:before="100" w:line="182" w:lineRule="auto"/>
              <w:jc w:val="center"/>
              <w:rPr>
                <w:rFonts w:ascii="宋体" w:hAnsi="宋体" w:eastAsia="宋体" w:cs="宋体"/>
                <w:color w:val="auto"/>
                <w:szCs w:val="21"/>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8</w:t>
            </w:r>
          </w:p>
        </w:tc>
        <w:tc>
          <w:tcPr>
            <w:tcW w:w="1998" w:type="dxa"/>
          </w:tcPr>
          <w:p>
            <w:pPr>
              <w:spacing w:before="99" w:line="183" w:lineRule="auto"/>
              <w:ind w:firstLine="422" w:firstLineChars="200"/>
              <w:rPr>
                <w:rFonts w:ascii="宋体" w:hAnsi="宋体" w:eastAsia="宋体" w:cs="宋体"/>
                <w:color w:val="auto"/>
                <w:szCs w:val="21"/>
              </w:rPr>
            </w:pPr>
            <w:r>
              <w:rPr>
                <w:rFonts w:hint="eastAsia" w:ascii="宋体" w:hAnsi="宋体" w:eastAsia="宋体" w:cs="宋体"/>
                <w:b/>
                <w:bCs/>
                <w:color w:val="auto"/>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1766" w:type="dxa"/>
            <w:gridSpan w:val="2"/>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货物名称</w:t>
            </w:r>
          </w:p>
        </w:tc>
        <w:tc>
          <w:tcPr>
            <w:tcW w:w="355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型号和规格</w:t>
            </w:r>
          </w:p>
        </w:tc>
        <w:tc>
          <w:tcPr>
            <w:tcW w:w="64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单位</w:t>
            </w:r>
          </w:p>
        </w:tc>
        <w:tc>
          <w:tcPr>
            <w:tcW w:w="112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169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yellow"/>
                <w14:textOutline w14:w="3835" w14:cap="flat" w14:cmpd="sng" w14:algn="ctr">
                  <w14:solidFill>
                    <w14:srgbClr w14:val="000000"/>
                  </w14:solidFill>
                  <w14:prstDash w14:val="solid"/>
                  <w14:miter w14:val="0"/>
                </w14:textOutline>
              </w:rPr>
              <w:t>原产地和制造商名称</w:t>
            </w:r>
          </w:p>
        </w:tc>
        <w:tc>
          <w:tcPr>
            <w:tcW w:w="1746" w:type="dxa"/>
            <w:tcBorders>
              <w:right w:val="single" w:color="000000" w:sz="4" w:space="0"/>
            </w:tcBorders>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892" w:type="dxa"/>
            <w:tcBorders>
              <w:left w:val="single" w:color="000000" w:sz="4" w:space="0"/>
            </w:tcBorders>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99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网线</w:t>
            </w:r>
          </w:p>
        </w:tc>
        <w:tc>
          <w:tcPr>
            <w:tcW w:w="3555" w:type="dxa"/>
            <w:vAlign w:val="center"/>
          </w:tcPr>
          <w:p>
            <w:pPr>
              <w:keepNext w:val="0"/>
              <w:keepLines w:val="0"/>
              <w:widowControl/>
              <w:suppressLineNumbers w:val="0"/>
              <w:jc w:val="left"/>
              <w:textAlignment w:val="center"/>
              <w:rPr>
                <w:rFonts w:ascii="宋体" w:hAnsi="宋体"/>
                <w:color w:val="auto"/>
                <w:szCs w:val="21"/>
              </w:rPr>
            </w:pPr>
            <w:r>
              <w:rPr>
                <w:rFonts w:hint="eastAsia" w:ascii="仿宋" w:hAnsi="仿宋" w:eastAsia="仿宋" w:cs="仿宋"/>
                <w:i w:val="0"/>
                <w:iCs w:val="0"/>
                <w:color w:val="000000"/>
                <w:kern w:val="0"/>
                <w:sz w:val="20"/>
                <w:szCs w:val="20"/>
                <w:u w:val="none"/>
                <w:lang w:val="en-US" w:eastAsia="zh-CN" w:bidi="ar"/>
              </w:rPr>
              <w:t>六类</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1000</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电源线</w:t>
            </w:r>
          </w:p>
        </w:tc>
        <w:tc>
          <w:tcPr>
            <w:tcW w:w="3555" w:type="dxa"/>
            <w:vAlign w:val="center"/>
          </w:tcPr>
          <w:p>
            <w:pPr>
              <w:keepNext w:val="0"/>
              <w:keepLines w:val="0"/>
              <w:widowControl/>
              <w:suppressLineNumbers w:val="0"/>
              <w:jc w:val="left"/>
              <w:textAlignment w:val="center"/>
              <w:rPr>
                <w:rFonts w:ascii="宋体" w:hAnsi="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550</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桥架</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50mm*100mm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250</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高清线</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5m/条</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条</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8</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5</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登高车</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元/2台/天</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9</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6-1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3940mm*2500mm*110mm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6-2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100mm*50mm*2.5mm方钢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6-3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分龙骨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40mm*40mm*2.0mm方钢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6-4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吊杆</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6-5</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总装线大屏定制夹持器</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6-6</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总装线大屏大屏四周包边</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6-7</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总装线大屏配套螺丝，卡扣，角件等</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7-1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3940mm*2500mm*110mm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7-2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100mm*50mm*2.5mm方钢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7-3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分龙骨：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40mm*40mm*2.0mm方钢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7-4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吊杆:</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7-5</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车身线大屏定制夹持器</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7-6</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车身线大屏大屏四周包边</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7-7</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车身线大屏配套螺丝，卡扣，角件等</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8-1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auto"/>
                <w:kern w:val="0"/>
                <w:sz w:val="20"/>
                <w:szCs w:val="20"/>
                <w:u w:val="none"/>
                <w:lang w:val="en-US" w:eastAsia="zh-CN" w:bidi="ar"/>
              </w:rPr>
              <w:t>仓库大屏框架:框架钢结构尺寸（长*高*厚）</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auto"/>
                <w:kern w:val="0"/>
                <w:sz w:val="20"/>
                <w:szCs w:val="20"/>
                <w:u w:val="none"/>
                <w:lang w:val="en-US" w:eastAsia="zh-CN" w:bidi="ar"/>
              </w:rPr>
              <w:t>2020mm*1540mm*110mm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8-2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auto"/>
                <w:kern w:val="0"/>
                <w:sz w:val="20"/>
                <w:szCs w:val="20"/>
                <w:u w:val="none"/>
                <w:lang w:val="en-US" w:eastAsia="zh-CN" w:bidi="ar"/>
              </w:rPr>
              <w:t>框架钢结构支架:—主龙骨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auto"/>
                <w:kern w:val="0"/>
                <w:sz w:val="20"/>
                <w:szCs w:val="20"/>
                <w:u w:val="none"/>
                <w:lang w:val="en-US" w:eastAsia="zh-CN" w:bidi="ar"/>
              </w:rPr>
              <w:t>100mm*50mm*2.5mm方钢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8-3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auto"/>
                <w:kern w:val="0"/>
                <w:sz w:val="20"/>
                <w:szCs w:val="20"/>
                <w:u w:val="none"/>
                <w:lang w:val="en-US" w:eastAsia="zh-CN" w:bidi="ar"/>
              </w:rPr>
              <w:t>分龙骨：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auto"/>
                <w:kern w:val="0"/>
                <w:sz w:val="20"/>
                <w:szCs w:val="20"/>
                <w:u w:val="none"/>
                <w:lang w:val="en-US" w:eastAsia="zh-CN" w:bidi="ar"/>
              </w:rPr>
              <w:t>40mm*40mm*2.0mm方钢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s="宋体"/>
                <w:color w:val="auto"/>
                <w:sz w:val="24"/>
                <w:szCs w:val="24"/>
              </w:rPr>
            </w:pPr>
            <w:r>
              <w:rPr>
                <w:rFonts w:hint="eastAsia" w:ascii="仿宋" w:hAnsi="仿宋" w:eastAsia="仿宋" w:cs="仿宋"/>
                <w:i w:val="0"/>
                <w:iCs w:val="0"/>
                <w:color w:val="auto"/>
                <w:sz w:val="20"/>
                <w:szCs w:val="20"/>
                <w:u w:val="none"/>
                <w:lang w:val="en-US" w:eastAsia="zh-CN"/>
              </w:rPr>
              <w:t>8-4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吊杆:</w:t>
            </w: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auto"/>
                <w:kern w:val="0"/>
                <w:sz w:val="20"/>
                <w:szCs w:val="20"/>
                <w:u w:val="none"/>
                <w:lang w:val="en-US" w:eastAsia="zh-CN" w:bidi="ar"/>
              </w:rPr>
              <w:t>50mm*50mm*2.0mm方钢,长度3m-6m可调节</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8-5</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仓库大屏定制夹持器</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8-6</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仓库大屏大屏四周包边</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8-7</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仓库大屏配套螺丝，卡扣，角件等</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9</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总装线大屏安装调试费：</w:t>
            </w:r>
          </w:p>
        </w:tc>
        <w:tc>
          <w:tcPr>
            <w:tcW w:w="3555" w:type="dxa"/>
            <w:vAlign w:val="center"/>
          </w:tcPr>
          <w:p>
            <w:pPr>
              <w:rPr>
                <w:rFonts w:ascii="Arial"/>
                <w:color w:val="auto"/>
              </w:rPr>
            </w:pP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车身线大屏安装调试费：</w:t>
            </w:r>
          </w:p>
        </w:tc>
        <w:tc>
          <w:tcPr>
            <w:tcW w:w="3555" w:type="dxa"/>
            <w:vAlign w:val="center"/>
          </w:tcPr>
          <w:p>
            <w:pPr>
              <w:rPr>
                <w:rFonts w:ascii="Arial"/>
                <w:color w:val="auto"/>
              </w:rPr>
            </w:pP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仓库大屏安装调试费：</w:t>
            </w:r>
          </w:p>
        </w:tc>
        <w:tc>
          <w:tcPr>
            <w:tcW w:w="3555" w:type="dxa"/>
            <w:vAlign w:val="center"/>
          </w:tcPr>
          <w:p>
            <w:pPr>
              <w:rPr>
                <w:rFonts w:ascii="Arial"/>
                <w:color w:val="auto"/>
              </w:rPr>
            </w:pP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4</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光纤</w:t>
            </w: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000000"/>
                <w:kern w:val="0"/>
                <w:sz w:val="20"/>
                <w:szCs w:val="20"/>
                <w:u w:val="none"/>
                <w:lang w:val="en-US" w:eastAsia="zh-CN" w:bidi="ar"/>
              </w:rPr>
              <w:t>8芯单模</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640</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13-1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光纤收发器</w:t>
            </w: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000000"/>
                <w:kern w:val="0"/>
                <w:sz w:val="20"/>
                <w:szCs w:val="20"/>
                <w:u w:val="none"/>
                <w:lang w:val="en-US" w:eastAsia="zh-CN" w:bidi="ar"/>
              </w:rPr>
              <w:t>1光4电</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2</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s="宋体"/>
                <w:color w:val="auto"/>
                <w:sz w:val="24"/>
                <w:szCs w:val="24"/>
              </w:rPr>
            </w:pPr>
            <w:r>
              <w:rPr>
                <w:rFonts w:hint="eastAsia" w:ascii="仿宋" w:hAnsi="仿宋" w:eastAsia="仿宋" w:cs="仿宋"/>
                <w:i w:val="0"/>
                <w:iCs w:val="0"/>
                <w:color w:val="000000"/>
                <w:sz w:val="20"/>
                <w:szCs w:val="20"/>
                <w:u w:val="none"/>
                <w:lang w:val="en-US" w:eastAsia="zh-CN"/>
              </w:rPr>
              <w:t>13-2</w:t>
            </w:r>
          </w:p>
        </w:tc>
        <w:tc>
          <w:tcPr>
            <w:tcW w:w="1766" w:type="dxa"/>
            <w:gridSpan w:val="2"/>
            <w:vAlign w:val="center"/>
          </w:tcPr>
          <w:p>
            <w:pPr>
              <w:rPr>
                <w:rFonts w:ascii="宋体" w:hAnsi="宋体" w:eastAsia="宋体" w:cs="宋体"/>
                <w:color w:val="auto"/>
                <w:sz w:val="24"/>
                <w:szCs w:val="24"/>
              </w:rPr>
            </w:pP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000000"/>
                <w:kern w:val="0"/>
                <w:sz w:val="20"/>
                <w:szCs w:val="20"/>
                <w:u w:val="none"/>
                <w:lang w:val="en-US" w:eastAsia="zh-CN" w:bidi="ar"/>
              </w:rPr>
              <w:t>1发1收</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14</w:t>
            </w:r>
          </w:p>
        </w:tc>
        <w:tc>
          <w:tcPr>
            <w:tcW w:w="1766" w:type="dxa"/>
            <w:gridSpan w:val="2"/>
            <w:vAlign w:val="center"/>
          </w:tcPr>
          <w:p>
            <w:pPr>
              <w:keepNext w:val="0"/>
              <w:keepLines w:val="0"/>
              <w:widowControl/>
              <w:suppressLineNumbers w:val="0"/>
              <w:jc w:val="left"/>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光纤熔接</w:t>
            </w:r>
          </w:p>
        </w:tc>
        <w:tc>
          <w:tcPr>
            <w:tcW w:w="3555" w:type="dxa"/>
            <w:vAlign w:val="center"/>
          </w:tcPr>
          <w:p>
            <w:pPr>
              <w:rPr>
                <w:rFonts w:hint="eastAsia" w:ascii="宋体" w:hAnsi="宋体" w:cs="宋体"/>
                <w:b/>
                <w:bCs/>
                <w:color w:val="auto"/>
                <w:kern w:val="0"/>
                <w:sz w:val="22"/>
              </w:rPr>
            </w:pPr>
          </w:p>
        </w:tc>
        <w:tc>
          <w:tcPr>
            <w:tcW w:w="64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宗</w:t>
            </w:r>
          </w:p>
        </w:tc>
        <w:tc>
          <w:tcPr>
            <w:tcW w:w="112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hint="eastAsia" w:ascii="宋体" w:hAnsi="宋体" w:cs="宋体"/>
                <w:b/>
                <w:bCs/>
                <w:color w:val="auto"/>
                <w:kern w:val="0"/>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15</w:t>
            </w:r>
          </w:p>
        </w:tc>
        <w:tc>
          <w:tcPr>
            <w:tcW w:w="1766" w:type="dxa"/>
            <w:gridSpan w:val="2"/>
            <w:vAlign w:val="center"/>
          </w:tcPr>
          <w:p>
            <w:pPr>
              <w:keepNext w:val="0"/>
              <w:keepLines w:val="0"/>
              <w:widowControl/>
              <w:suppressLineNumbers w:val="0"/>
              <w:jc w:val="left"/>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布线费用</w:t>
            </w:r>
          </w:p>
        </w:tc>
        <w:tc>
          <w:tcPr>
            <w:tcW w:w="3555" w:type="dxa"/>
            <w:vAlign w:val="center"/>
          </w:tcPr>
          <w:p>
            <w:pPr>
              <w:rPr>
                <w:rFonts w:hint="eastAsia" w:ascii="宋体" w:hAnsi="宋体" w:cs="宋体"/>
                <w:b/>
                <w:bCs/>
                <w:color w:val="auto"/>
                <w:kern w:val="0"/>
                <w:sz w:val="22"/>
              </w:rPr>
            </w:pPr>
          </w:p>
        </w:tc>
        <w:tc>
          <w:tcPr>
            <w:tcW w:w="64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宗</w:t>
            </w:r>
          </w:p>
        </w:tc>
        <w:tc>
          <w:tcPr>
            <w:tcW w:w="112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hint="eastAsia" w:ascii="宋体" w:hAnsi="宋体" w:cs="宋体"/>
                <w:b/>
                <w:bCs/>
                <w:color w:val="auto"/>
                <w:kern w:val="0"/>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auto"/>
                <w:szCs w:val="21"/>
              </w:rPr>
            </w:pPr>
            <w:r>
              <w:rPr>
                <w:rFonts w:ascii="宋体" w:hAnsi="宋体" w:eastAsia="宋体" w:cs="宋体"/>
                <w:color w:val="auto"/>
                <w:position w:val="1"/>
                <w:szCs w:val="21"/>
              </w:rPr>
              <w:t>…</w:t>
            </w:r>
          </w:p>
        </w:tc>
        <w:tc>
          <w:tcPr>
            <w:tcW w:w="1766" w:type="dxa"/>
            <w:gridSpan w:val="2"/>
          </w:tcPr>
          <w:p>
            <w:pPr>
              <w:rPr>
                <w:rFonts w:ascii="Arial"/>
                <w:color w:val="auto"/>
              </w:rPr>
            </w:pPr>
            <w:r>
              <w:rPr>
                <w:rFonts w:hint="eastAsia" w:ascii="宋体" w:hAnsi="宋体" w:eastAsia="宋体" w:cs="宋体"/>
                <w:color w:val="auto"/>
              </w:rPr>
              <w:t>以上投标设备不足之处请往下添加序号自行补充</w:t>
            </w:r>
          </w:p>
        </w:tc>
        <w:tc>
          <w:tcPr>
            <w:tcW w:w="3555" w:type="dxa"/>
          </w:tcPr>
          <w:p>
            <w:pPr>
              <w:rPr>
                <w:rFonts w:ascii="Arial"/>
                <w:color w:val="auto"/>
              </w:rPr>
            </w:pPr>
          </w:p>
        </w:tc>
        <w:tc>
          <w:tcPr>
            <w:tcW w:w="645" w:type="dxa"/>
          </w:tcPr>
          <w:p>
            <w:pPr>
              <w:rPr>
                <w:rFonts w:ascii="Arial"/>
                <w:color w:val="auto"/>
              </w:rPr>
            </w:pPr>
          </w:p>
        </w:tc>
        <w:tc>
          <w:tcPr>
            <w:tcW w:w="1125" w:type="dxa"/>
          </w:tcPr>
          <w:p>
            <w:pPr>
              <w:rPr>
                <w:rFonts w:ascii="Arial"/>
                <w:color w:val="auto"/>
              </w:rPr>
            </w:pP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auto"/>
                <w:position w:val="1"/>
                <w:szCs w:val="21"/>
              </w:rPr>
            </w:pPr>
          </w:p>
        </w:tc>
        <w:tc>
          <w:tcPr>
            <w:tcW w:w="1766" w:type="dxa"/>
            <w:gridSpan w:val="2"/>
          </w:tcPr>
          <w:p>
            <w:pPr>
              <w:rPr>
                <w:rFonts w:ascii="宋体" w:hAnsi="宋体" w:eastAsia="宋体" w:cs="宋体"/>
                <w:color w:val="auto"/>
              </w:rPr>
            </w:pPr>
          </w:p>
        </w:tc>
        <w:tc>
          <w:tcPr>
            <w:tcW w:w="3555" w:type="dxa"/>
          </w:tcPr>
          <w:p>
            <w:pPr>
              <w:rPr>
                <w:rFonts w:ascii="Arial"/>
                <w:color w:val="auto"/>
              </w:rPr>
            </w:pPr>
          </w:p>
        </w:tc>
        <w:tc>
          <w:tcPr>
            <w:tcW w:w="645" w:type="dxa"/>
          </w:tcPr>
          <w:p>
            <w:pPr>
              <w:rPr>
                <w:rFonts w:ascii="Arial"/>
                <w:color w:val="auto"/>
              </w:rPr>
            </w:pPr>
          </w:p>
        </w:tc>
        <w:tc>
          <w:tcPr>
            <w:tcW w:w="1125" w:type="dxa"/>
          </w:tcPr>
          <w:p>
            <w:pPr>
              <w:rPr>
                <w:rFonts w:ascii="Arial"/>
                <w:color w:val="auto"/>
              </w:rPr>
            </w:pP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color w:val="auto"/>
                <w:spacing w:val="-6"/>
                <w:szCs w:val="21"/>
              </w:rPr>
            </w:pPr>
          </w:p>
        </w:tc>
        <w:tc>
          <w:tcPr>
            <w:tcW w:w="10084" w:type="dxa"/>
            <w:gridSpan w:val="6"/>
            <w:tcBorders>
              <w:right w:val="single" w:color="000000" w:sz="4" w:space="0"/>
            </w:tcBorders>
          </w:tcPr>
          <w:p>
            <w:pPr>
              <w:jc w:val="center"/>
              <w:rPr>
                <w:rFonts w:ascii="Arial"/>
                <w:color w:val="auto"/>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1892" w:type="dxa"/>
            <w:tcBorders>
              <w:left w:val="single" w:color="000000" w:sz="4" w:space="0"/>
            </w:tcBorders>
          </w:tcPr>
          <w:p>
            <w:pPr>
              <w:rPr>
                <w:rFonts w:ascii="Arial"/>
                <w:color w:val="auto"/>
              </w:rPr>
            </w:pPr>
          </w:p>
        </w:tc>
        <w:tc>
          <w:tcPr>
            <w:tcW w:w="1998" w:type="dxa"/>
          </w:tcPr>
          <w:p>
            <w:pPr>
              <w:rPr>
                <w:rFonts w:ascii="Arial"/>
                <w:color w:val="auto"/>
              </w:rPr>
            </w:pPr>
          </w:p>
        </w:tc>
      </w:tr>
    </w:tbl>
    <w:p>
      <w:pPr>
        <w:spacing w:before="58" w:line="219" w:lineRule="auto"/>
        <w:ind w:left="8"/>
        <w:rPr>
          <w:rFonts w:ascii="宋体" w:hAnsi="宋体" w:eastAsia="宋体" w:cs="宋体"/>
          <w:color w:val="auto"/>
          <w:szCs w:val="21"/>
        </w:rPr>
      </w:pPr>
      <w:r>
        <w:rPr>
          <w:rFonts w:ascii="宋体" w:hAnsi="宋体" w:eastAsia="宋体" w:cs="宋体"/>
          <w:color w:val="auto"/>
          <w:spacing w:val="-8"/>
          <w:szCs w:val="21"/>
        </w:rPr>
        <w:t>注：</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1.以上</w:t>
      </w:r>
      <w:r>
        <w:rPr>
          <w:rFonts w:ascii="宋体" w:hAnsi="宋体" w:eastAsia="宋体" w:cs="宋体"/>
          <w:color w:val="auto"/>
          <w:spacing w:val="-5"/>
          <w:szCs w:val="21"/>
        </w:rPr>
        <w:t>是</w:t>
      </w:r>
      <w:r>
        <w:rPr>
          <w:rFonts w:ascii="宋体" w:hAnsi="宋体" w:eastAsia="宋体" w:cs="宋体"/>
          <w:color w:val="auto"/>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计算的结果与总价不一致，以单价为准修正总价。</w:t>
      </w:r>
    </w:p>
    <w:p>
      <w:pPr>
        <w:spacing w:before="85" w:line="198" w:lineRule="auto"/>
        <w:ind w:left="432"/>
        <w:rPr>
          <w:color w:val="auto"/>
        </w:rPr>
      </w:pPr>
      <w:r>
        <w:rPr>
          <w:rFonts w:ascii="宋体" w:hAnsi="宋体" w:eastAsia="宋体" w:cs="宋体"/>
          <w:color w:val="auto"/>
          <w:spacing w:val="-4"/>
          <w:szCs w:val="21"/>
        </w:rPr>
        <w:t>3.此分项报价，仅是为</w:t>
      </w:r>
      <w:r>
        <w:rPr>
          <w:rFonts w:ascii="宋体" w:hAnsi="宋体" w:eastAsia="宋体" w:cs="宋体"/>
          <w:color w:val="auto"/>
          <w:spacing w:val="-2"/>
          <w:szCs w:val="21"/>
        </w:rPr>
        <w:t>了方便招标人对投标文件进行分析比较，不作为限制订立合同的条件</w:t>
      </w:r>
      <w:r>
        <w:rPr>
          <w:rFonts w:ascii="宋体" w:hAnsi="宋体" w:eastAsia="宋体" w:cs="宋体"/>
          <w:color w:val="auto"/>
          <w:spacing w:val="-2"/>
          <w:sz w:val="24"/>
          <w:szCs w:val="24"/>
        </w:rPr>
        <w:t>。</w:t>
      </w:r>
    </w:p>
    <w:p>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pPr>
        <w:spacing w:line="105" w:lineRule="exact"/>
        <w:rPr>
          <w:color w:val="auto"/>
        </w:rPr>
      </w:pPr>
    </w:p>
    <w:p>
      <w:pPr>
        <w:rPr>
          <w:color w:val="auto"/>
        </w:r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color w:val="auto"/>
          <w:spacing w:val="-4"/>
          <w:sz w:val="24"/>
          <w:szCs w:val="24"/>
        </w:rPr>
      </w:pPr>
      <w:r>
        <w:rPr>
          <w:rFonts w:hint="eastAsia" w:ascii="宋体" w:hAnsi="宋体" w:eastAsia="宋体" w:cs="宋体"/>
          <w:color w:val="auto"/>
          <w:spacing w:val="-4"/>
          <w:sz w:val="24"/>
          <w:szCs w:val="24"/>
        </w:rPr>
        <w:t>投标人(章)：</w:t>
      </w:r>
    </w:p>
    <w:p>
      <w:pPr>
        <w:spacing w:line="14" w:lineRule="auto"/>
        <w:rPr>
          <w:rFonts w:ascii="宋体" w:hAnsi="宋体" w:eastAsia="宋体" w:cs="宋体"/>
          <w:color w:val="auto"/>
          <w:sz w:val="24"/>
          <w:szCs w:val="24"/>
        </w:rPr>
      </w:pPr>
      <w:r>
        <w:rPr>
          <w:rFonts w:hint="eastAsia" w:ascii="宋体" w:hAnsi="宋体" w:eastAsia="宋体" w:cs="宋体"/>
          <w:color w:val="auto"/>
          <w:sz w:val="24"/>
          <w:szCs w:val="24"/>
        </w:rPr>
        <w:br w:type="column"/>
      </w:r>
    </w:p>
    <w:p>
      <w:pPr>
        <w:spacing w:before="40" w:line="186" w:lineRule="auto"/>
        <w:rPr>
          <w:rFonts w:ascii="宋体" w:hAnsi="宋体" w:eastAsia="宋体" w:cs="宋体"/>
          <w:color w:val="auto"/>
          <w:spacing w:val="-2"/>
          <w:sz w:val="24"/>
          <w:szCs w:val="24"/>
        </w:rPr>
      </w:pPr>
      <w:r>
        <w:rPr>
          <w:rFonts w:hint="eastAsia" w:ascii="宋体" w:hAnsi="宋体" w:eastAsia="宋体" w:cs="宋体"/>
          <w:color w:val="auto"/>
          <w:spacing w:val="-2"/>
          <w:sz w:val="24"/>
          <w:szCs w:val="24"/>
        </w:rPr>
        <w:t>授权代表(签字)：</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2"/>
          <w:sz w:val="24"/>
          <w:szCs w:val="24"/>
        </w:rPr>
        <w:t>年    月    日</w:t>
      </w:r>
    </w:p>
    <w:p>
      <w:pPr>
        <w:rPr>
          <w:rFonts w:ascii="宋体" w:hAnsi="宋体" w:eastAsia="宋体" w:cs="宋体"/>
          <w:color w:val="auto"/>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color w:val="auto"/>
          <w:sz w:val="24"/>
          <w:szCs w:val="24"/>
        </w:rPr>
      </w:pPr>
      <w:r>
        <w:rPr>
          <w:rFonts w:ascii="宋体" w:hAnsi="宋体" w:eastAsia="宋体" w:cs="宋体"/>
          <w:color w:val="auto"/>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spacing w:line="172" w:lineRule="exact"/>
        <w:rPr>
          <w:color w:val="auto"/>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color w:val="auto"/>
              </w:rPr>
            </w:pPr>
          </w:p>
          <w:p>
            <w:pPr>
              <w:spacing w:before="68" w:line="222" w:lineRule="auto"/>
              <w:ind w:left="194"/>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color w:val="auto"/>
              </w:rPr>
            </w:pPr>
          </w:p>
          <w:p>
            <w:pPr>
              <w:spacing w:before="68" w:line="221" w:lineRule="auto"/>
              <w:ind w:left="1476"/>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color w:val="auto"/>
              </w:rPr>
            </w:pPr>
          </w:p>
        </w:tc>
        <w:tc>
          <w:tcPr>
            <w:tcW w:w="3530" w:type="dxa"/>
            <w:vMerge w:val="continue"/>
            <w:tcBorders>
              <w:top w:val="nil"/>
            </w:tcBorders>
          </w:tcPr>
          <w:p>
            <w:pPr>
              <w:rPr>
                <w:rFonts w:ascii="Arial"/>
                <w:color w:val="auto"/>
              </w:rPr>
            </w:pPr>
          </w:p>
        </w:tc>
        <w:tc>
          <w:tcPr>
            <w:tcW w:w="2159" w:type="dxa"/>
          </w:tcPr>
          <w:p>
            <w:pPr>
              <w:spacing w:before="160" w:line="186" w:lineRule="auto"/>
              <w:ind w:left="1044"/>
              <w:rPr>
                <w:rFonts w:ascii="宋体" w:hAnsi="宋体" w:eastAsia="宋体" w:cs="宋体"/>
                <w:color w:val="auto"/>
                <w:szCs w:val="21"/>
              </w:rPr>
            </w:pPr>
            <w:r>
              <w:rPr>
                <w:rFonts w:ascii="宋体" w:hAnsi="宋体" w:eastAsia="宋体" w:cs="宋体"/>
                <w:color w:val="auto"/>
                <w:szCs w:val="21"/>
              </w:rPr>
              <w:t>1</w:t>
            </w:r>
          </w:p>
        </w:tc>
        <w:tc>
          <w:tcPr>
            <w:tcW w:w="2186" w:type="dxa"/>
          </w:tcPr>
          <w:p>
            <w:pPr>
              <w:spacing w:before="161" w:line="185" w:lineRule="auto"/>
              <w:ind w:left="1047"/>
              <w:rPr>
                <w:rFonts w:ascii="宋体" w:hAnsi="宋体" w:eastAsia="宋体" w:cs="宋体"/>
                <w:color w:val="auto"/>
                <w:szCs w:val="21"/>
              </w:rPr>
            </w:pPr>
            <w:r>
              <w:rPr>
                <w:rFonts w:ascii="宋体" w:hAnsi="宋体" w:eastAsia="宋体" w:cs="宋体"/>
                <w:color w:val="auto"/>
                <w:szCs w:val="21"/>
              </w:rPr>
              <w:t>2</w:t>
            </w:r>
          </w:p>
        </w:tc>
        <w:tc>
          <w:tcPr>
            <w:tcW w:w="2596" w:type="dxa"/>
          </w:tcPr>
          <w:p>
            <w:pPr>
              <w:spacing w:before="126" w:line="223" w:lineRule="auto"/>
              <w:ind w:left="835"/>
              <w:rPr>
                <w:rFonts w:ascii="宋体" w:hAnsi="宋体" w:eastAsia="宋体" w:cs="宋体"/>
                <w:color w:val="auto"/>
                <w:szCs w:val="21"/>
              </w:rPr>
            </w:pPr>
            <w:r>
              <w:rPr>
                <w:rFonts w:ascii="宋体" w:hAnsi="宋体" w:eastAsia="宋体" w:cs="宋体"/>
                <w:color w:val="auto"/>
                <w:spacing w:val="-2"/>
                <w:szCs w:val="21"/>
              </w:rPr>
              <w:t>3 (1</w:t>
            </w:r>
            <w:r>
              <w:rPr>
                <w:rFonts w:ascii="宋体" w:hAnsi="宋体" w:eastAsia="宋体" w:cs="宋体"/>
                <w:color w:val="auto"/>
                <w:spacing w:val="-1"/>
                <w:szCs w:val="21"/>
              </w:rPr>
              <w:t>×2)</w:t>
            </w:r>
          </w:p>
        </w:tc>
        <w:tc>
          <w:tcPr>
            <w:tcW w:w="2164" w:type="dxa"/>
          </w:tcPr>
          <w:p>
            <w:pPr>
              <w:spacing w:before="161" w:line="185" w:lineRule="auto"/>
              <w:ind w:left="1031"/>
              <w:rPr>
                <w:rFonts w:ascii="宋体" w:hAnsi="宋体" w:eastAsia="宋体" w:cs="宋体"/>
                <w:color w:val="auto"/>
                <w:szCs w:val="21"/>
              </w:rPr>
            </w:pPr>
            <w:r>
              <w:rPr>
                <w:rFonts w:ascii="宋体" w:hAnsi="宋体" w:eastAsia="宋体" w:cs="宋体"/>
                <w:color w:val="auto"/>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color w:val="auto"/>
                <w:szCs w:val="21"/>
              </w:rPr>
            </w:pPr>
            <w:r>
              <w:rPr>
                <w:rFonts w:hint="eastAsia" w:ascii="宋体" w:hAnsi="宋体" w:eastAsia="宋体" w:cs="宋体"/>
                <w:color w:val="auto"/>
                <w:szCs w:val="21"/>
              </w:rPr>
              <w:t>1</w:t>
            </w:r>
          </w:p>
        </w:tc>
        <w:tc>
          <w:tcPr>
            <w:tcW w:w="3530" w:type="dxa"/>
          </w:tcPr>
          <w:p>
            <w:pPr>
              <w:spacing w:before="209" w:line="221" w:lineRule="auto"/>
              <w:ind w:left="1450"/>
              <w:rPr>
                <w:rFonts w:ascii="宋体" w:hAnsi="宋体" w:eastAsia="宋体" w:cs="宋体"/>
                <w:color w:val="auto"/>
                <w:szCs w:val="21"/>
              </w:rPr>
            </w:pPr>
            <w:r>
              <w:rPr>
                <w:rFonts w:ascii="宋体" w:hAnsi="宋体" w:eastAsia="宋体" w:cs="宋体"/>
                <w:color w:val="auto"/>
                <w:spacing w:val="-2"/>
                <w:szCs w:val="21"/>
              </w:rPr>
              <w:t>包</w:t>
            </w:r>
            <w:r>
              <w:rPr>
                <w:rFonts w:ascii="宋体" w:hAnsi="宋体" w:eastAsia="宋体" w:cs="宋体"/>
                <w:color w:val="auto"/>
                <w:spacing w:val="-1"/>
                <w:szCs w:val="21"/>
              </w:rPr>
              <w:t>装费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color w:val="auto"/>
                <w:szCs w:val="21"/>
              </w:rPr>
            </w:pPr>
            <w:r>
              <w:rPr>
                <w:rFonts w:hint="eastAsia" w:ascii="宋体" w:hAnsi="宋体" w:eastAsia="宋体" w:cs="宋体"/>
                <w:color w:val="auto"/>
                <w:szCs w:val="21"/>
              </w:rPr>
              <w:t>2</w:t>
            </w:r>
          </w:p>
        </w:tc>
        <w:tc>
          <w:tcPr>
            <w:tcW w:w="3530" w:type="dxa"/>
          </w:tcPr>
          <w:p>
            <w:pPr>
              <w:spacing w:before="209" w:line="221" w:lineRule="auto"/>
              <w:ind w:left="1450"/>
              <w:rPr>
                <w:rFonts w:ascii="宋体" w:hAnsi="宋体" w:eastAsia="宋体" w:cs="宋体"/>
                <w:color w:val="auto"/>
                <w:szCs w:val="21"/>
              </w:rPr>
            </w:pPr>
            <w:r>
              <w:rPr>
                <w:rFonts w:ascii="宋体" w:hAnsi="宋体" w:eastAsia="宋体" w:cs="宋体"/>
                <w:color w:val="auto"/>
                <w:spacing w:val="-2"/>
                <w:szCs w:val="21"/>
              </w:rPr>
              <w:t>运</w:t>
            </w:r>
            <w:r>
              <w:rPr>
                <w:rFonts w:ascii="宋体" w:hAnsi="宋体" w:eastAsia="宋体" w:cs="宋体"/>
                <w:color w:val="auto"/>
                <w:spacing w:val="-1"/>
                <w:szCs w:val="21"/>
              </w:rPr>
              <w:t>输费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vMerge w:val="restart"/>
            <w:tcBorders>
              <w:bottom w:val="nil"/>
            </w:tcBorders>
          </w:tcPr>
          <w:p>
            <w:pPr>
              <w:spacing w:line="295" w:lineRule="auto"/>
              <w:rPr>
                <w:rFonts w:ascii="Arial"/>
                <w:color w:val="auto"/>
              </w:rPr>
            </w:pPr>
          </w:p>
          <w:p>
            <w:pPr>
              <w:spacing w:before="68" w:line="300" w:lineRule="auto"/>
              <w:ind w:left="873" w:right="133" w:hanging="734"/>
              <w:rPr>
                <w:rFonts w:ascii="宋体" w:hAnsi="宋体" w:eastAsia="宋体" w:cs="宋体"/>
                <w:color w:val="auto"/>
                <w:szCs w:val="21"/>
              </w:rPr>
            </w:pPr>
            <w:r>
              <w:rPr>
                <w:rFonts w:ascii="宋体" w:hAnsi="宋体" w:eastAsia="宋体" w:cs="宋体"/>
                <w:color w:val="auto"/>
                <w:spacing w:val="-1"/>
                <w:szCs w:val="21"/>
              </w:rPr>
              <w:t>运输方式及</w:t>
            </w:r>
            <w:r>
              <w:rPr>
                <w:rFonts w:ascii="宋体" w:hAnsi="宋体" w:eastAsia="宋体" w:cs="宋体"/>
                <w:color w:val="auto"/>
                <w:szCs w:val="21"/>
              </w:rPr>
              <w:t xml:space="preserve">运输起止 </w:t>
            </w:r>
            <w:r>
              <w:rPr>
                <w:rFonts w:ascii="宋体" w:hAnsi="宋体" w:eastAsia="宋体" w:cs="宋体"/>
                <w:color w:val="auto"/>
                <w:spacing w:val="-2"/>
                <w:szCs w:val="21"/>
              </w:rPr>
              <w:t>地</w:t>
            </w:r>
            <w:r>
              <w:rPr>
                <w:rFonts w:ascii="宋体" w:hAnsi="宋体" w:eastAsia="宋体" w:cs="宋体"/>
                <w:color w:val="auto"/>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color w:val="auto"/>
                <w:szCs w:val="21"/>
              </w:rPr>
            </w:pPr>
            <w:r>
              <w:rPr>
                <w:rFonts w:hint="eastAsia" w:ascii="宋体" w:hAnsi="宋体" w:eastAsia="宋体" w:cs="宋体"/>
                <w:color w:val="auto"/>
                <w:szCs w:val="21"/>
              </w:rPr>
              <w:t>3</w:t>
            </w:r>
          </w:p>
        </w:tc>
        <w:tc>
          <w:tcPr>
            <w:tcW w:w="3530" w:type="dxa"/>
          </w:tcPr>
          <w:p>
            <w:pPr>
              <w:spacing w:before="212" w:line="221" w:lineRule="auto"/>
              <w:ind w:left="1241"/>
              <w:rPr>
                <w:rFonts w:ascii="宋体" w:hAnsi="宋体" w:eastAsia="宋体" w:cs="宋体"/>
                <w:color w:val="auto"/>
                <w:szCs w:val="21"/>
              </w:rPr>
            </w:pPr>
            <w:r>
              <w:rPr>
                <w:rFonts w:ascii="宋体" w:hAnsi="宋体" w:eastAsia="宋体" w:cs="宋体"/>
                <w:color w:val="auto"/>
                <w:spacing w:val="-1"/>
                <w:szCs w:val="21"/>
              </w:rPr>
              <w:t>运输保险费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vMerge w:val="continue"/>
            <w:tcBorders>
              <w:top w:val="nil"/>
            </w:tcBorders>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color w:val="auto"/>
                <w:szCs w:val="21"/>
              </w:rPr>
            </w:pPr>
            <w:r>
              <w:rPr>
                <w:rFonts w:hint="eastAsia" w:ascii="宋体" w:hAnsi="宋体" w:eastAsia="宋体" w:cs="宋体"/>
                <w:color w:val="auto"/>
                <w:szCs w:val="21"/>
              </w:rPr>
              <w:t>4</w:t>
            </w:r>
          </w:p>
        </w:tc>
        <w:tc>
          <w:tcPr>
            <w:tcW w:w="3530" w:type="dxa"/>
          </w:tcPr>
          <w:p>
            <w:pPr>
              <w:spacing w:before="210" w:line="221" w:lineRule="auto"/>
              <w:ind w:left="1450"/>
              <w:rPr>
                <w:rFonts w:ascii="宋体" w:hAnsi="宋体" w:eastAsia="宋体" w:cs="宋体"/>
                <w:color w:val="auto"/>
                <w:szCs w:val="21"/>
              </w:rPr>
            </w:pPr>
            <w:r>
              <w:rPr>
                <w:rFonts w:ascii="宋体" w:hAnsi="宋体" w:eastAsia="宋体" w:cs="宋体"/>
                <w:color w:val="auto"/>
                <w:spacing w:val="-2"/>
                <w:szCs w:val="21"/>
              </w:rPr>
              <w:t>装</w:t>
            </w:r>
            <w:r>
              <w:rPr>
                <w:rFonts w:ascii="宋体" w:hAnsi="宋体" w:eastAsia="宋体" w:cs="宋体"/>
                <w:color w:val="auto"/>
                <w:spacing w:val="-1"/>
                <w:szCs w:val="21"/>
              </w:rPr>
              <w:t>卸费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tcPr>
          <w:p>
            <w:pPr>
              <w:spacing w:before="210" w:line="221" w:lineRule="auto"/>
              <w:ind w:left="457"/>
              <w:rPr>
                <w:rFonts w:ascii="宋体" w:hAnsi="宋体" w:eastAsia="宋体" w:cs="宋体"/>
                <w:color w:val="auto"/>
                <w:szCs w:val="21"/>
              </w:rPr>
            </w:pPr>
            <w:r>
              <w:rPr>
                <w:rFonts w:ascii="宋体" w:hAnsi="宋体" w:eastAsia="宋体" w:cs="宋体"/>
                <w:color w:val="auto"/>
                <w:spacing w:val="-2"/>
                <w:szCs w:val="21"/>
              </w:rPr>
              <w:t>发生</w:t>
            </w:r>
            <w:r>
              <w:rPr>
                <w:rFonts w:ascii="宋体" w:hAnsi="宋体" w:eastAsia="宋体" w:cs="宋体"/>
                <w:color w:val="auto"/>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color w:val="auto"/>
                <w:szCs w:val="21"/>
              </w:rPr>
            </w:pPr>
            <w:r>
              <w:rPr>
                <w:rFonts w:hint="eastAsia" w:ascii="宋体" w:hAnsi="宋体" w:eastAsia="宋体" w:cs="宋体"/>
                <w:color w:val="auto"/>
                <w:szCs w:val="21"/>
              </w:rPr>
              <w:t>5</w:t>
            </w:r>
          </w:p>
        </w:tc>
        <w:tc>
          <w:tcPr>
            <w:tcW w:w="3530" w:type="dxa"/>
          </w:tcPr>
          <w:p>
            <w:pPr>
              <w:spacing w:before="211" w:line="221" w:lineRule="auto"/>
              <w:ind w:left="1557"/>
              <w:rPr>
                <w:rFonts w:ascii="宋体" w:hAnsi="宋体" w:eastAsia="宋体" w:cs="宋体"/>
                <w:color w:val="auto"/>
                <w:szCs w:val="21"/>
              </w:rPr>
            </w:pPr>
            <w:r>
              <w:rPr>
                <w:rFonts w:ascii="宋体" w:hAnsi="宋体" w:eastAsia="宋体" w:cs="宋体"/>
                <w:color w:val="auto"/>
                <w:spacing w:val="-2"/>
                <w:szCs w:val="21"/>
              </w:rPr>
              <w:t>其他</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tcPr>
          <w:p>
            <w:pPr>
              <w:spacing w:before="210" w:line="221" w:lineRule="auto"/>
              <w:ind w:left="456"/>
              <w:rPr>
                <w:rFonts w:ascii="宋体" w:hAnsi="宋体" w:eastAsia="宋体" w:cs="宋体"/>
                <w:color w:val="auto"/>
                <w:szCs w:val="21"/>
              </w:rPr>
            </w:pPr>
            <w:r>
              <w:rPr>
                <w:rFonts w:ascii="宋体" w:hAnsi="宋体" w:eastAsia="宋体" w:cs="宋体"/>
                <w:color w:val="auto"/>
                <w:spacing w:val="-2"/>
                <w:szCs w:val="21"/>
              </w:rPr>
              <w:t>说明</w:t>
            </w:r>
            <w:r>
              <w:rPr>
                <w:rFonts w:ascii="宋体" w:hAnsi="宋体" w:eastAsia="宋体" w:cs="宋体"/>
                <w:color w:val="auto"/>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color w:val="auto"/>
                <w:szCs w:val="21"/>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4760" w:type="dxa"/>
            <w:gridSpan w:val="2"/>
          </w:tcPr>
          <w:p>
            <w:pPr>
              <w:spacing w:before="211" w:line="219" w:lineRule="auto"/>
              <w:jc w:val="left"/>
              <w:rPr>
                <w:rFonts w:ascii="宋体" w:hAnsi="宋体" w:eastAsia="宋体" w:cs="宋体"/>
                <w:color w:val="auto"/>
                <w:szCs w:val="21"/>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pPr>
        <w:spacing w:before="59" w:line="219" w:lineRule="auto"/>
        <w:ind w:left="211"/>
        <w:rPr>
          <w:rFonts w:ascii="宋体" w:hAnsi="宋体" w:eastAsia="宋体" w:cs="宋体"/>
          <w:color w:val="auto"/>
          <w:szCs w:val="21"/>
        </w:rPr>
      </w:pPr>
      <w:r>
        <w:rPr>
          <w:rFonts w:ascii="宋体" w:hAnsi="宋体" w:eastAsia="宋体" w:cs="宋体"/>
          <w:color w:val="auto"/>
          <w:spacing w:val="-10"/>
          <w:szCs w:val="21"/>
        </w:rPr>
        <w:t>注：</w:t>
      </w:r>
      <w:r>
        <w:rPr>
          <w:rFonts w:hint="eastAsia" w:ascii="宋体" w:hAnsi="宋体" w:eastAsia="宋体" w:cs="宋体"/>
          <w:color w:val="auto"/>
          <w:spacing w:val="-10"/>
          <w:szCs w:val="21"/>
        </w:rPr>
        <w:t xml:space="preserve"> </w:t>
      </w:r>
      <w:r>
        <w:rPr>
          <w:rFonts w:ascii="宋体" w:hAnsi="宋体" w:eastAsia="宋体" w:cs="宋体"/>
          <w:color w:val="auto"/>
          <w:spacing w:val="-5"/>
          <w:szCs w:val="21"/>
        </w:rPr>
        <w:t>1.投标人需另附页给出价格的详细说明。</w:t>
      </w:r>
    </w:p>
    <w:p>
      <w:pPr>
        <w:spacing w:before="77"/>
        <w:ind w:left="633"/>
        <w:rPr>
          <w:rFonts w:ascii="宋体" w:hAnsi="宋体" w:eastAsia="宋体" w:cs="宋体"/>
          <w:color w:val="auto"/>
          <w:szCs w:val="21"/>
        </w:rPr>
      </w:pPr>
      <w:r>
        <w:rPr>
          <w:rFonts w:ascii="宋体" w:hAnsi="宋体" w:eastAsia="宋体" w:cs="宋体"/>
          <w:color w:val="auto"/>
          <w:spacing w:val="-1"/>
          <w:szCs w:val="21"/>
        </w:rPr>
        <w:t>2.如果按单价计算的结果与总价不一致，以单</w:t>
      </w:r>
      <w:r>
        <w:rPr>
          <w:rFonts w:ascii="宋体" w:hAnsi="宋体" w:eastAsia="宋体" w:cs="宋体"/>
          <w:color w:val="auto"/>
          <w:szCs w:val="21"/>
        </w:rPr>
        <w:t>价为准修正总价。</w:t>
      </w:r>
    </w:p>
    <w:p>
      <w:pPr>
        <w:spacing w:before="64" w:line="198" w:lineRule="auto"/>
        <w:ind w:firstLine="606" w:firstLineChars="300"/>
        <w:rPr>
          <w:rFonts w:ascii="宋体" w:hAnsi="宋体" w:eastAsia="宋体" w:cs="宋体"/>
          <w:color w:val="auto"/>
          <w:sz w:val="24"/>
          <w:szCs w:val="24"/>
        </w:rPr>
      </w:pPr>
      <w:r>
        <w:rPr>
          <w:rFonts w:ascii="宋体" w:hAnsi="宋体" w:eastAsia="宋体" w:cs="宋体"/>
          <w:color w:val="auto"/>
          <w:spacing w:val="-4"/>
          <w:szCs w:val="21"/>
        </w:rPr>
        <w:t>3.此分项报价， 仅是为了方</w:t>
      </w:r>
      <w:r>
        <w:rPr>
          <w:rFonts w:ascii="宋体" w:hAnsi="宋体" w:eastAsia="宋体" w:cs="宋体"/>
          <w:color w:val="auto"/>
          <w:spacing w:val="-2"/>
          <w:szCs w:val="21"/>
        </w:rPr>
        <w:t>便招标人对投标文件进行比较，不作为限制订立合同的条件</w:t>
      </w:r>
      <w:r>
        <w:rPr>
          <w:rFonts w:ascii="宋体" w:hAnsi="宋体" w:eastAsia="宋体" w:cs="宋体"/>
          <w:color w:val="auto"/>
          <w:spacing w:val="-2"/>
          <w:sz w:val="24"/>
          <w:szCs w:val="24"/>
        </w:rPr>
        <w:t>。</w:t>
      </w:r>
    </w:p>
    <w:p>
      <w:pPr>
        <w:spacing w:before="78" w:line="219" w:lineRule="auto"/>
        <w:ind w:firstLine="594" w:firstLineChars="3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firstLine="594" w:firstLineChars="3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color w:val="auto"/>
          <w:spacing w:val="-2"/>
          <w:sz w:val="24"/>
          <w:szCs w:val="24"/>
        </w:rPr>
      </w:pPr>
      <w:r>
        <w:rPr>
          <w:rFonts w:ascii="宋体" w:hAnsi="宋体" w:eastAsia="宋体" w:cs="宋体"/>
          <w:color w:val="auto"/>
          <w:spacing w:val="-4"/>
          <w:sz w:val="24"/>
          <w:szCs w:val="24"/>
        </w:rPr>
        <w:t>投标人(章)：</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 xml:space="preserve"> 授权代表(签字)：    </w:t>
      </w:r>
      <w:r>
        <w:rPr>
          <w:rFonts w:ascii="宋体" w:hAnsi="宋体" w:eastAsia="宋体" w:cs="宋体"/>
          <w:color w:val="auto"/>
          <w:spacing w:val="3"/>
          <w:sz w:val="24"/>
          <w:szCs w:val="24"/>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年  月  日</w:t>
      </w:r>
    </w:p>
    <w:p>
      <w:pPr>
        <w:rPr>
          <w:color w:val="auto"/>
          <w:sz w:val="24"/>
          <w:szCs w:val="24"/>
        </w:rPr>
        <w:sectPr>
          <w:footerReference r:id="rId31" w:type="default"/>
          <w:pgSz w:w="16841" w:h="11907"/>
          <w:pgMar w:top="400" w:right="1699" w:bottom="1184" w:left="1481" w:header="0" w:footer="1022" w:gutter="0"/>
          <w:cols w:space="720" w:num="1"/>
        </w:sectPr>
      </w:pPr>
    </w:p>
    <w:p>
      <w:pPr>
        <w:pStyle w:val="5"/>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color w:val="auto"/>
          <w:sz w:val="31"/>
          <w:szCs w:val="31"/>
        </w:rPr>
      </w:pPr>
      <w:r>
        <w:rPr>
          <w:rFonts w:ascii="宋体" w:hAnsi="宋体" w:eastAsia="宋体" w:cs="宋体"/>
          <w:color w:val="auto"/>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rPr>
          <w:color w:val="auto"/>
        </w:rPr>
      </w:pPr>
    </w:p>
    <w:p>
      <w:pPr>
        <w:spacing w:line="20" w:lineRule="exact"/>
        <w:rPr>
          <w:color w:val="auto"/>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color w:val="auto"/>
                <w:szCs w:val="21"/>
              </w:rPr>
            </w:pPr>
            <w:r>
              <w:rPr>
                <w:rFonts w:ascii="宋体" w:hAnsi="宋体" w:eastAsia="宋体" w:cs="宋体"/>
                <w:color w:val="auto"/>
                <w:szCs w:val="21"/>
              </w:rPr>
              <w:t>1</w:t>
            </w:r>
          </w:p>
        </w:tc>
        <w:tc>
          <w:tcPr>
            <w:tcW w:w="3625" w:type="dxa"/>
            <w:vAlign w:val="center"/>
          </w:tcPr>
          <w:p>
            <w:pPr>
              <w:spacing w:before="266" w:line="221" w:lineRule="auto"/>
              <w:jc w:val="center"/>
              <w:rPr>
                <w:rFonts w:ascii="宋体" w:hAnsi="宋体" w:eastAsia="宋体" w:cs="宋体"/>
                <w:color w:val="auto"/>
                <w:szCs w:val="21"/>
              </w:rPr>
            </w:pPr>
            <w:r>
              <w:rPr>
                <w:rFonts w:ascii="宋体" w:hAnsi="宋体" w:eastAsia="宋体" w:cs="宋体"/>
                <w:color w:val="auto"/>
                <w:spacing w:val="-1"/>
                <w:szCs w:val="21"/>
              </w:rPr>
              <w:t>现场</w:t>
            </w:r>
            <w:r>
              <w:rPr>
                <w:rFonts w:hint="eastAsia" w:ascii="宋体" w:hAnsi="宋体" w:eastAsia="宋体" w:cs="宋体"/>
                <w:color w:val="auto"/>
                <w:spacing w:val="-1"/>
                <w:szCs w:val="21"/>
              </w:rPr>
              <w:t>安装调试</w:t>
            </w:r>
          </w:p>
        </w:tc>
        <w:tc>
          <w:tcPr>
            <w:tcW w:w="1126" w:type="dxa"/>
          </w:tcPr>
          <w:p>
            <w:pPr>
              <w:spacing w:before="266" w:line="221" w:lineRule="auto"/>
              <w:jc w:val="center"/>
              <w:rPr>
                <w:rFonts w:ascii="宋体" w:hAnsi="宋体" w:eastAsia="宋体" w:cs="宋体"/>
                <w:color w:val="auto"/>
                <w:spacing w:val="-2"/>
                <w:szCs w:val="21"/>
              </w:rPr>
            </w:pPr>
            <w:r>
              <w:rPr>
                <w:rFonts w:ascii="宋体" w:hAnsi="宋体" w:eastAsia="宋体" w:cs="宋体"/>
                <w:color w:val="auto"/>
                <w:spacing w:val="-1"/>
                <w:szCs w:val="21"/>
              </w:rPr>
              <w:t>人</w:t>
            </w:r>
            <w:r>
              <w:rPr>
                <w:rFonts w:hint="eastAsia" w:ascii="宋体" w:hAnsi="宋体" w:eastAsia="宋体" w:cs="宋体"/>
                <w:color w:val="auto"/>
                <w:spacing w:val="-1"/>
                <w:szCs w:val="21"/>
              </w:rPr>
              <w:t>·</w:t>
            </w:r>
            <w:r>
              <w:rPr>
                <w:rFonts w:ascii="宋体" w:hAnsi="宋体" w:eastAsia="宋体" w:cs="宋体"/>
                <w:color w:val="auto"/>
                <w:spacing w:val="-1"/>
                <w:szCs w:val="21"/>
              </w:rPr>
              <w:t>天</w:t>
            </w: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color w:val="auto"/>
                <w:szCs w:val="21"/>
              </w:rPr>
            </w:pPr>
            <w:r>
              <w:rPr>
                <w:rFonts w:ascii="宋体" w:hAnsi="宋体" w:eastAsia="宋体" w:cs="宋体"/>
                <w:color w:val="auto"/>
                <w:szCs w:val="21"/>
              </w:rPr>
              <w:t>2</w:t>
            </w:r>
          </w:p>
        </w:tc>
        <w:tc>
          <w:tcPr>
            <w:tcW w:w="3625" w:type="dxa"/>
            <w:vAlign w:val="center"/>
          </w:tcPr>
          <w:p>
            <w:pPr>
              <w:spacing w:before="266" w:line="221" w:lineRule="auto"/>
              <w:jc w:val="center"/>
              <w:rPr>
                <w:rFonts w:ascii="宋体" w:hAnsi="宋体" w:eastAsia="宋体" w:cs="宋体"/>
                <w:color w:val="auto"/>
                <w:szCs w:val="21"/>
              </w:rPr>
            </w:pPr>
            <w:r>
              <w:rPr>
                <w:rFonts w:ascii="宋体" w:hAnsi="宋体" w:eastAsia="宋体" w:cs="宋体"/>
                <w:color w:val="auto"/>
                <w:spacing w:val="-1"/>
                <w:szCs w:val="21"/>
              </w:rPr>
              <w:t>性能考核验</w:t>
            </w:r>
            <w:r>
              <w:rPr>
                <w:rFonts w:ascii="宋体" w:hAnsi="宋体" w:eastAsia="宋体" w:cs="宋体"/>
                <w:color w:val="auto"/>
                <w:szCs w:val="21"/>
              </w:rPr>
              <w:t>收</w:t>
            </w:r>
          </w:p>
        </w:tc>
        <w:tc>
          <w:tcPr>
            <w:tcW w:w="1126"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color w:val="auto"/>
                <w:szCs w:val="21"/>
              </w:rPr>
            </w:pPr>
            <w:r>
              <w:rPr>
                <w:rFonts w:ascii="宋体" w:hAnsi="宋体" w:eastAsia="宋体" w:cs="宋体"/>
                <w:color w:val="auto"/>
                <w:szCs w:val="21"/>
              </w:rPr>
              <w:t>3</w:t>
            </w:r>
          </w:p>
        </w:tc>
        <w:tc>
          <w:tcPr>
            <w:tcW w:w="3625" w:type="dxa"/>
            <w:vAlign w:val="center"/>
          </w:tcPr>
          <w:p>
            <w:pPr>
              <w:spacing w:before="266" w:line="221" w:lineRule="auto"/>
              <w:jc w:val="center"/>
              <w:rPr>
                <w:rFonts w:ascii="宋体" w:hAnsi="宋体" w:eastAsia="宋体" w:cs="宋体"/>
                <w:color w:val="auto"/>
                <w:szCs w:val="21"/>
              </w:rPr>
            </w:pPr>
            <w:r>
              <w:rPr>
                <w:rFonts w:hint="eastAsia" w:ascii="宋体" w:hAnsi="宋体" w:eastAsia="宋体" w:cs="宋体"/>
                <w:color w:val="auto"/>
                <w:spacing w:val="-2"/>
                <w:szCs w:val="21"/>
              </w:rPr>
              <w:t>技术</w:t>
            </w:r>
            <w:r>
              <w:rPr>
                <w:rFonts w:ascii="宋体" w:hAnsi="宋体" w:eastAsia="宋体" w:cs="宋体"/>
                <w:color w:val="auto"/>
                <w:spacing w:val="-2"/>
                <w:szCs w:val="21"/>
              </w:rPr>
              <w:t>培</w:t>
            </w:r>
            <w:r>
              <w:rPr>
                <w:rFonts w:ascii="宋体" w:hAnsi="宋体" w:eastAsia="宋体" w:cs="宋体"/>
                <w:color w:val="auto"/>
                <w:spacing w:val="-1"/>
                <w:szCs w:val="21"/>
              </w:rPr>
              <w:t>训费</w:t>
            </w:r>
          </w:p>
        </w:tc>
        <w:tc>
          <w:tcPr>
            <w:tcW w:w="1126" w:type="dxa"/>
          </w:tcPr>
          <w:p>
            <w:pPr>
              <w:spacing w:before="266" w:line="221" w:lineRule="auto"/>
              <w:jc w:val="center"/>
              <w:rPr>
                <w:rFonts w:ascii="宋体" w:hAnsi="宋体" w:eastAsia="宋体" w:cs="宋体"/>
                <w:color w:val="auto"/>
                <w:spacing w:val="-2"/>
                <w:szCs w:val="21"/>
              </w:rPr>
            </w:pPr>
            <w:r>
              <w:rPr>
                <w:rFonts w:ascii="宋体" w:hAnsi="宋体" w:eastAsia="宋体" w:cs="宋体"/>
                <w:color w:val="auto"/>
                <w:spacing w:val="-1"/>
                <w:szCs w:val="21"/>
              </w:rPr>
              <w:t>人</w:t>
            </w:r>
            <w:r>
              <w:rPr>
                <w:rFonts w:hint="eastAsia" w:ascii="宋体" w:hAnsi="宋体" w:eastAsia="宋体" w:cs="宋体"/>
                <w:color w:val="auto"/>
                <w:spacing w:val="-1"/>
                <w:szCs w:val="21"/>
              </w:rPr>
              <w:t>·</w:t>
            </w:r>
            <w:r>
              <w:rPr>
                <w:rFonts w:ascii="宋体" w:hAnsi="宋体" w:eastAsia="宋体" w:cs="宋体"/>
                <w:color w:val="auto"/>
                <w:spacing w:val="-1"/>
                <w:szCs w:val="21"/>
              </w:rPr>
              <w:t>天</w:t>
            </w: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color w:val="auto"/>
                <w:szCs w:val="21"/>
              </w:rPr>
            </w:pPr>
            <w:r>
              <w:rPr>
                <w:rFonts w:hint="eastAsia" w:ascii="宋体" w:hAnsi="宋体" w:eastAsia="宋体" w:cs="宋体"/>
                <w:color w:val="auto"/>
                <w:szCs w:val="21"/>
              </w:rPr>
              <w:t>4</w:t>
            </w:r>
          </w:p>
        </w:tc>
        <w:tc>
          <w:tcPr>
            <w:tcW w:w="3625" w:type="dxa"/>
            <w:vAlign w:val="center"/>
          </w:tcPr>
          <w:p>
            <w:pPr>
              <w:spacing w:before="268" w:line="221" w:lineRule="auto"/>
              <w:jc w:val="center"/>
              <w:rPr>
                <w:rFonts w:ascii="宋体" w:hAnsi="宋体" w:eastAsia="宋体" w:cs="宋体"/>
                <w:color w:val="auto"/>
                <w:szCs w:val="21"/>
              </w:rPr>
            </w:pPr>
            <w:r>
              <w:rPr>
                <w:rFonts w:ascii="宋体" w:hAnsi="宋体" w:eastAsia="宋体" w:cs="宋体"/>
                <w:color w:val="auto"/>
                <w:spacing w:val="15"/>
                <w:szCs w:val="21"/>
              </w:rPr>
              <w:t>其</w:t>
            </w:r>
            <w:r>
              <w:rPr>
                <w:rFonts w:ascii="宋体" w:hAnsi="宋体" w:eastAsia="宋体" w:cs="宋体"/>
                <w:color w:val="auto"/>
                <w:spacing w:val="12"/>
                <w:szCs w:val="21"/>
              </w:rPr>
              <w:t>它(列出明细)</w:t>
            </w:r>
          </w:p>
        </w:tc>
        <w:tc>
          <w:tcPr>
            <w:tcW w:w="1126"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rPr>
              <w:t>（不含税）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color w:val="auto"/>
          <w:spacing w:val="-8"/>
          <w:szCs w:val="21"/>
        </w:rPr>
      </w:pPr>
      <w:r>
        <w:rPr>
          <w:rFonts w:ascii="宋体" w:hAnsi="宋体" w:eastAsia="宋体" w:cs="宋体"/>
          <w:color w:val="auto"/>
          <w:spacing w:val="-16"/>
          <w:szCs w:val="21"/>
        </w:rPr>
        <w:t>注</w:t>
      </w:r>
      <w:r>
        <w:rPr>
          <w:rFonts w:ascii="宋体" w:hAnsi="宋体" w:eastAsia="宋体" w:cs="宋体"/>
          <w:color w:val="auto"/>
          <w:spacing w:val="-8"/>
          <w:szCs w:val="21"/>
        </w:rPr>
        <w:t xml:space="preserve">： </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1.投标人需给出价格的详细说明。</w:t>
      </w:r>
    </w:p>
    <w:p>
      <w:pPr>
        <w:spacing w:before="75" w:line="219" w:lineRule="auto"/>
        <w:ind w:left="409" w:firstLine="396" w:firstLineChars="200"/>
        <w:rPr>
          <w:color w:val="auto"/>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 以单价为准修正总价。</w:t>
      </w:r>
    </w:p>
    <w:p>
      <w:pPr>
        <w:spacing w:before="35" w:line="239" w:lineRule="auto"/>
        <w:ind w:firstLine="824" w:firstLineChars="400"/>
        <w:rPr>
          <w:rFonts w:ascii="宋体" w:hAnsi="宋体" w:eastAsia="宋体" w:cs="宋体"/>
          <w:color w:val="auto"/>
          <w:szCs w:val="21"/>
        </w:rPr>
      </w:pPr>
      <w:r>
        <w:rPr>
          <w:rFonts w:hint="eastAsia" w:ascii="宋体" w:hAnsi="宋体" w:eastAsia="宋体" w:cs="宋体"/>
          <w:color w:val="auto"/>
          <w:spacing w:val="-2"/>
          <w:szCs w:val="21"/>
        </w:rPr>
        <w:t>3</w:t>
      </w:r>
      <w:r>
        <w:rPr>
          <w:rFonts w:ascii="宋体" w:hAnsi="宋体" w:eastAsia="宋体" w:cs="宋体"/>
          <w:color w:val="auto"/>
          <w:spacing w:val="-2"/>
          <w:szCs w:val="21"/>
        </w:rPr>
        <w:t>.此分项</w:t>
      </w:r>
      <w:r>
        <w:rPr>
          <w:rFonts w:ascii="宋体" w:hAnsi="宋体" w:eastAsia="宋体" w:cs="宋体"/>
          <w:color w:val="auto"/>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pPr>
        <w:rPr>
          <w:color w:val="auto"/>
        </w:rPr>
      </w:pPr>
    </w:p>
    <w:p>
      <w:pPr>
        <w:pStyle w:val="16"/>
        <w:framePr w:wrap="around"/>
        <w:rPr>
          <w:color w:val="auto"/>
        </w:rPr>
      </w:pPr>
    </w:p>
    <w:p>
      <w:pPr>
        <w:spacing w:before="35" w:line="239" w:lineRule="auto"/>
        <w:ind w:left="724"/>
        <w:rPr>
          <w:rFonts w:ascii="宋体" w:hAnsi="宋体" w:eastAsia="宋体" w:cs="宋体"/>
          <w:color w:val="auto"/>
          <w:spacing w:val="-1"/>
          <w:sz w:val="24"/>
          <w:szCs w:val="24"/>
        </w:rPr>
      </w:pPr>
      <w:r>
        <w:rPr>
          <w:rFonts w:ascii="宋体" w:hAnsi="宋体" w:eastAsia="宋体" w:cs="宋体"/>
          <w:color w:val="auto"/>
          <w:spacing w:val="-2"/>
          <w:sz w:val="24"/>
          <w:szCs w:val="24"/>
        </w:rPr>
        <w:t>投标人(章)：</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1"/>
          <w:sz w:val="24"/>
          <w:szCs w:val="24"/>
        </w:rPr>
        <w:t xml:space="preserve">授权代表(签字)： </w:t>
      </w:r>
      <w:r>
        <w:rPr>
          <w:rFonts w:ascii="宋体" w:hAnsi="宋体" w:eastAsia="宋体" w:cs="宋体"/>
          <w:color w:val="auto"/>
          <w:spacing w:val="3"/>
          <w:szCs w:val="21"/>
        </w:rPr>
        <w:t xml:space="preserve">                             </w:t>
      </w:r>
      <w:r>
        <w:rPr>
          <w:rFonts w:ascii="宋体" w:hAnsi="宋体" w:eastAsia="宋体" w:cs="宋体"/>
          <w:color w:val="auto"/>
          <w:spacing w:val="-1"/>
          <w:sz w:val="24"/>
          <w:szCs w:val="24"/>
        </w:rPr>
        <w:t>年  月  日</w:t>
      </w:r>
    </w:p>
    <w:p>
      <w:pPr>
        <w:spacing w:before="35" w:line="239" w:lineRule="auto"/>
        <w:ind w:left="724"/>
        <w:rPr>
          <w:rFonts w:ascii="宋体" w:hAnsi="宋体" w:eastAsia="宋体" w:cs="宋体"/>
          <w:color w:val="auto"/>
          <w:spacing w:val="-1"/>
          <w:sz w:val="24"/>
          <w:szCs w:val="24"/>
        </w:rPr>
        <w:sectPr>
          <w:footerReference r:id="rId32" w:type="default"/>
          <w:pgSz w:w="16841" w:h="11907"/>
          <w:pgMar w:top="400" w:right="1699" w:bottom="1184" w:left="1481" w:header="0" w:footer="1022" w:gutter="0"/>
          <w:cols w:space="720" w:num="1"/>
        </w:sectPr>
      </w:pPr>
    </w:p>
    <w:p>
      <w:pPr>
        <w:pStyle w:val="5"/>
        <w:jc w:val="left"/>
        <w:rPr>
          <w:rFonts w:ascii="宋体" w:hAnsi="宋体" w:eastAsia="宋体" w:cs="宋体"/>
          <w:color w:val="auto"/>
          <w:sz w:val="24"/>
          <w:szCs w:val="24"/>
        </w:rPr>
      </w:pPr>
      <w:r>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rPr>
        <w:t xml:space="preserve"> </w:t>
      </w:r>
      <w:r>
        <w:rPr>
          <w:rFonts w:hint="eastAsia" w:ascii="宋体" w:hAnsi="宋体" w:eastAsia="宋体" w:cs="宋体"/>
          <w:color w:val="auto"/>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color w:val="auto"/>
          <w:sz w:val="24"/>
          <w:szCs w:val="24"/>
        </w:rPr>
      </w:pPr>
      <w:r>
        <w:rPr>
          <w:rFonts w:ascii="宋体" w:hAnsi="宋体" w:eastAsia="宋体" w:cs="宋体"/>
          <w:color w:val="auto"/>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rPr>
        <w:t xml:space="preserve"> </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spacing w:line="172" w:lineRule="exact"/>
        <w:rPr>
          <w:color w:val="auto"/>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color w:val="auto"/>
                <w:szCs w:val="21"/>
              </w:rPr>
            </w:pPr>
            <w:r>
              <w:rPr>
                <w:rFonts w:ascii="宋体" w:hAnsi="宋体" w:eastAsia="宋体" w:cs="宋体"/>
                <w:color w:val="auto"/>
                <w:szCs w:val="21"/>
              </w:rPr>
              <w:t>1</w:t>
            </w: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color w:val="auto"/>
                <w:szCs w:val="21"/>
              </w:rPr>
            </w:pPr>
            <w:r>
              <w:rPr>
                <w:rFonts w:ascii="宋体" w:hAnsi="宋体" w:eastAsia="宋体" w:cs="宋体"/>
                <w:color w:val="auto"/>
                <w:szCs w:val="21"/>
              </w:rPr>
              <w:t>2</w:t>
            </w: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color w:val="auto"/>
              </w:rPr>
            </w:pP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color w:val="auto"/>
              </w:rPr>
            </w:pP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color w:val="auto"/>
              </w:rPr>
            </w:pP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color w:val="auto"/>
                <w:szCs w:val="21"/>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4106" w:type="dxa"/>
            <w:gridSpan w:val="3"/>
          </w:tcPr>
          <w:p>
            <w:pPr>
              <w:spacing w:before="207" w:line="219" w:lineRule="auto"/>
              <w:jc w:val="left"/>
              <w:rPr>
                <w:rFonts w:ascii="宋体" w:hAnsi="宋体" w:eastAsia="宋体" w:cs="宋体"/>
                <w:color w:val="auto"/>
                <w:szCs w:val="21"/>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pPr>
        <w:spacing w:before="69" w:line="219" w:lineRule="auto"/>
        <w:rPr>
          <w:rFonts w:ascii="宋体" w:hAnsi="宋体" w:eastAsia="宋体" w:cs="宋体"/>
          <w:color w:val="auto"/>
          <w:szCs w:val="21"/>
        </w:rPr>
      </w:pPr>
      <w:r>
        <w:rPr>
          <w:rFonts w:ascii="宋体" w:hAnsi="宋体" w:eastAsia="宋体" w:cs="宋体"/>
          <w:color w:val="auto"/>
          <w:spacing w:val="-3"/>
          <w:szCs w:val="21"/>
        </w:rPr>
        <w:t>注：1.本表须详细列出质保期内全部随机备品备件和专用工具等的详细价格</w:t>
      </w:r>
      <w:r>
        <w:rPr>
          <w:rFonts w:ascii="宋体" w:hAnsi="宋体" w:eastAsia="宋体" w:cs="宋体"/>
          <w:color w:val="auto"/>
          <w:spacing w:val="-1"/>
          <w:szCs w:val="21"/>
        </w:rPr>
        <w:t>。</w:t>
      </w:r>
    </w:p>
    <w:p>
      <w:pPr>
        <w:spacing w:before="75" w:line="219" w:lineRule="auto"/>
        <w:ind w:left="409"/>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 以单价为准修正总价。</w:t>
      </w:r>
    </w:p>
    <w:p>
      <w:pPr>
        <w:spacing w:before="87" w:line="198" w:lineRule="auto"/>
        <w:ind w:left="411"/>
        <w:rPr>
          <w:rFonts w:ascii="宋体" w:hAnsi="宋体" w:eastAsia="宋体" w:cs="宋体"/>
          <w:color w:val="auto"/>
          <w:sz w:val="24"/>
          <w:szCs w:val="24"/>
        </w:rPr>
      </w:pPr>
      <w:r>
        <w:rPr>
          <w:rFonts w:ascii="宋体" w:hAnsi="宋体" w:eastAsia="宋体" w:cs="宋体"/>
          <w:color w:val="auto"/>
          <w:spacing w:val="-4"/>
          <w:szCs w:val="21"/>
        </w:rPr>
        <w:t>3.此分项报价， 仅是为了方</w:t>
      </w:r>
      <w:r>
        <w:rPr>
          <w:rFonts w:ascii="宋体" w:hAnsi="宋体" w:eastAsia="宋体" w:cs="宋体"/>
          <w:color w:val="auto"/>
          <w:spacing w:val="-2"/>
          <w:szCs w:val="21"/>
        </w:rPr>
        <w:t>便招标人对投标文件进行比较，不作为限制订立合同的条件</w:t>
      </w:r>
      <w:r>
        <w:rPr>
          <w:rFonts w:ascii="宋体" w:hAnsi="宋体" w:eastAsia="宋体" w:cs="宋体"/>
          <w:color w:val="auto"/>
          <w:spacing w:val="-2"/>
          <w:sz w:val="24"/>
          <w:szCs w:val="24"/>
        </w:rPr>
        <w:t>。</w:t>
      </w:r>
    </w:p>
    <w:p>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pPr>
        <w:spacing w:before="140" w:line="220" w:lineRule="auto"/>
        <w:ind w:left="215"/>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color w:val="auto"/>
          <w:spacing w:val="-2"/>
          <w:sz w:val="24"/>
          <w:szCs w:val="24"/>
        </w:rPr>
      </w:pPr>
      <w:r>
        <w:rPr>
          <w:rFonts w:ascii="宋体" w:hAnsi="宋体" w:eastAsia="宋体" w:cs="宋体"/>
          <w:color w:val="auto"/>
          <w:spacing w:val="-4"/>
          <w:sz w:val="24"/>
          <w:szCs w:val="24"/>
        </w:rPr>
        <w:t xml:space="preserve">投标人(章)： </w:t>
      </w:r>
      <w:r>
        <w:rPr>
          <w:rFonts w:ascii="宋体" w:hAnsi="宋体" w:eastAsia="宋体" w:cs="宋体"/>
          <w:color w:val="auto"/>
          <w:spacing w:val="6"/>
          <w:sz w:val="24"/>
          <w:szCs w:val="24"/>
        </w:rPr>
        <w:t xml:space="preserve">    </w:t>
      </w:r>
      <w:r>
        <w:rPr>
          <w:rFonts w:ascii="宋体" w:hAnsi="宋体" w:eastAsia="宋体" w:cs="宋体"/>
          <w:color w:val="auto"/>
          <w:spacing w:val="4"/>
          <w:sz w:val="24"/>
          <w:szCs w:val="24"/>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 xml:space="preserve">授权代表(签字)：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年  月  日</w:t>
      </w:r>
    </w:p>
    <w:p>
      <w:pPr>
        <w:spacing w:before="87" w:line="198" w:lineRule="auto"/>
        <w:ind w:left="411"/>
        <w:rPr>
          <w:rFonts w:ascii="宋体" w:hAnsi="宋体" w:eastAsia="宋体" w:cs="宋体"/>
          <w:color w:val="auto"/>
          <w:spacing w:val="-2"/>
          <w:sz w:val="24"/>
          <w:szCs w:val="24"/>
        </w:rPr>
        <w:sectPr>
          <w:footerReference r:id="rId33" w:type="default"/>
          <w:pgSz w:w="16841" w:h="11907"/>
          <w:pgMar w:top="400" w:right="1500" w:bottom="1184" w:left="1480" w:header="0" w:footer="1022" w:gutter="0"/>
          <w:cols w:space="720" w:num="1"/>
        </w:sectPr>
      </w:pPr>
    </w:p>
    <w:p>
      <w:pPr>
        <w:pStyle w:val="5"/>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color w:val="auto"/>
          <w:sz w:val="31"/>
          <w:szCs w:val="31"/>
        </w:rPr>
      </w:pP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color w:val="auto"/>
          <w:szCs w:val="21"/>
        </w:rPr>
      </w:pP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spacing w:line="127" w:lineRule="exact"/>
        <w:rPr>
          <w:color w:val="auto"/>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color w:val="auto"/>
                <w:szCs w:val="21"/>
              </w:rPr>
            </w:pPr>
            <w:r>
              <w:rPr>
                <w:rFonts w:ascii="宋体" w:hAnsi="宋体" w:eastAsia="宋体" w:cs="宋体"/>
                <w:color w:val="auto"/>
                <w:spacing w:val="-2"/>
                <w:szCs w:val="21"/>
              </w:rPr>
              <w:t>序</w:t>
            </w:r>
            <w:r>
              <w:rPr>
                <w:rFonts w:ascii="宋体" w:hAnsi="宋体" w:eastAsia="宋体" w:cs="宋体"/>
                <w:color w:val="auto"/>
                <w:spacing w:val="-1"/>
                <w:szCs w:val="21"/>
              </w:rPr>
              <w:t>号</w:t>
            </w:r>
          </w:p>
        </w:tc>
        <w:tc>
          <w:tcPr>
            <w:tcW w:w="5765" w:type="dxa"/>
          </w:tcPr>
          <w:p>
            <w:pPr>
              <w:spacing w:before="276" w:line="221" w:lineRule="auto"/>
              <w:ind w:left="2544"/>
              <w:rPr>
                <w:rFonts w:ascii="宋体" w:hAnsi="宋体" w:eastAsia="宋体" w:cs="宋体"/>
                <w:color w:val="auto"/>
                <w:szCs w:val="21"/>
              </w:rPr>
            </w:pPr>
            <w:r>
              <w:rPr>
                <w:rFonts w:ascii="宋体" w:hAnsi="宋体" w:eastAsia="宋体" w:cs="宋体"/>
                <w:color w:val="auto"/>
                <w:spacing w:val="-6"/>
                <w:szCs w:val="21"/>
              </w:rPr>
              <w:t>内</w:t>
            </w:r>
            <w:r>
              <w:rPr>
                <w:rFonts w:ascii="宋体" w:hAnsi="宋体" w:eastAsia="宋体" w:cs="宋体"/>
                <w:color w:val="auto"/>
                <w:spacing w:val="-4"/>
                <w:szCs w:val="21"/>
              </w:rPr>
              <w:t xml:space="preserve">   容</w:t>
            </w:r>
          </w:p>
        </w:tc>
        <w:tc>
          <w:tcPr>
            <w:tcW w:w="3354" w:type="dxa"/>
          </w:tcPr>
          <w:p>
            <w:pPr>
              <w:spacing w:before="276" w:line="219" w:lineRule="auto"/>
              <w:jc w:val="center"/>
              <w:rPr>
                <w:rFonts w:ascii="宋体" w:hAnsi="宋体" w:eastAsia="宋体" w:cs="宋体"/>
                <w:color w:val="auto"/>
                <w:szCs w:val="21"/>
              </w:rPr>
            </w:pPr>
            <w:r>
              <w:rPr>
                <w:rFonts w:ascii="宋体" w:hAnsi="宋体" w:eastAsia="宋体" w:cs="宋体"/>
                <w:color w:val="auto"/>
                <w:spacing w:val="18"/>
                <w:szCs w:val="21"/>
              </w:rPr>
              <w:t>总</w:t>
            </w:r>
            <w:r>
              <w:rPr>
                <w:rFonts w:ascii="宋体" w:hAnsi="宋体" w:eastAsia="宋体" w:cs="宋体"/>
                <w:color w:val="auto"/>
                <w:spacing w:val="14"/>
                <w:szCs w:val="21"/>
              </w:rPr>
              <w:t>价(元)</w:t>
            </w:r>
            <w:r>
              <w:rPr>
                <w:rFonts w:hint="eastAsia" w:ascii="宋体" w:hAnsi="宋体" w:eastAsia="宋体" w:cs="宋体"/>
                <w:color w:val="auto"/>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color w:val="auto"/>
                <w:szCs w:val="21"/>
              </w:rPr>
            </w:pPr>
            <w:r>
              <w:rPr>
                <w:rFonts w:ascii="宋体" w:hAnsi="宋体" w:eastAsia="宋体" w:cs="宋体"/>
                <w:color w:val="auto"/>
                <w:spacing w:val="-1"/>
                <w:szCs w:val="21"/>
              </w:rPr>
              <w:t>备</w:t>
            </w:r>
            <w:r>
              <w:rPr>
                <w:rFonts w:ascii="宋体" w:hAnsi="宋体" w:eastAsia="宋体" w:cs="宋体"/>
                <w:color w:val="auto"/>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color w:val="auto"/>
                <w:szCs w:val="21"/>
              </w:rPr>
            </w:pPr>
            <w:r>
              <w:rPr>
                <w:rFonts w:ascii="宋体" w:hAnsi="宋体" w:eastAsia="宋体" w:cs="宋体"/>
                <w:color w:val="auto"/>
                <w:szCs w:val="21"/>
              </w:rPr>
              <w:t>1</w:t>
            </w:r>
          </w:p>
        </w:tc>
        <w:tc>
          <w:tcPr>
            <w:tcW w:w="5765" w:type="dxa"/>
          </w:tcPr>
          <w:p>
            <w:pPr>
              <w:spacing w:before="275" w:line="222" w:lineRule="auto"/>
              <w:ind w:left="2378"/>
              <w:rPr>
                <w:rFonts w:ascii="宋体" w:hAnsi="宋体" w:eastAsia="宋体" w:cs="宋体"/>
                <w:color w:val="auto"/>
                <w:szCs w:val="21"/>
              </w:rPr>
            </w:pPr>
            <w:r>
              <w:rPr>
                <w:rFonts w:ascii="宋体" w:hAnsi="宋体" w:eastAsia="宋体" w:cs="宋体"/>
                <w:color w:val="auto"/>
                <w:spacing w:val="-17"/>
                <w:szCs w:val="21"/>
              </w:rPr>
              <w:t>表</w:t>
            </w:r>
            <w:r>
              <w:rPr>
                <w:rFonts w:ascii="宋体" w:hAnsi="宋体" w:eastAsia="宋体" w:cs="宋体"/>
                <w:color w:val="auto"/>
                <w:spacing w:val="-11"/>
                <w:szCs w:val="21"/>
              </w:rPr>
              <w:t xml:space="preserve"> </w:t>
            </w:r>
            <w:r>
              <w:rPr>
                <w:rFonts w:hint="eastAsia" w:ascii="Times New Roman" w:hAnsi="Times New Roman" w:eastAsia="宋体" w:cs="Times New Roman"/>
                <w:color w:val="auto"/>
                <w:spacing w:val="-11"/>
                <w:szCs w:val="21"/>
              </w:rPr>
              <w:t>9</w:t>
            </w:r>
            <w:r>
              <w:rPr>
                <w:rFonts w:ascii="Times New Roman" w:hAnsi="Times New Roman" w:eastAsia="Times New Roman" w:cs="Times New Roman"/>
                <w:color w:val="auto"/>
                <w:spacing w:val="-11"/>
                <w:szCs w:val="21"/>
              </w:rPr>
              <w:t xml:space="preserve">- 1 </w:t>
            </w:r>
            <w:r>
              <w:rPr>
                <w:rFonts w:ascii="宋体" w:hAnsi="宋体" w:eastAsia="宋体" w:cs="宋体"/>
                <w:color w:val="auto"/>
                <w:spacing w:val="-11"/>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color w:val="auto"/>
                <w:szCs w:val="21"/>
              </w:rPr>
            </w:pPr>
            <w:r>
              <w:rPr>
                <w:rFonts w:ascii="宋体" w:hAnsi="宋体" w:eastAsia="宋体" w:cs="宋体"/>
                <w:color w:val="auto"/>
                <w:szCs w:val="21"/>
              </w:rPr>
              <w:t>2</w:t>
            </w:r>
          </w:p>
        </w:tc>
        <w:tc>
          <w:tcPr>
            <w:tcW w:w="5765" w:type="dxa"/>
          </w:tcPr>
          <w:p>
            <w:pPr>
              <w:spacing w:before="263"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-2 </w:t>
            </w:r>
            <w:r>
              <w:rPr>
                <w:rFonts w:ascii="宋体" w:hAnsi="宋体" w:eastAsia="宋体" w:cs="宋体"/>
                <w:color w:val="auto"/>
                <w:spacing w:val="-6"/>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color w:val="auto"/>
              </w:rPr>
            </w:pPr>
          </w:p>
          <w:p>
            <w:pPr>
              <w:spacing w:before="68" w:line="183" w:lineRule="auto"/>
              <w:ind w:left="497"/>
              <w:rPr>
                <w:rFonts w:ascii="宋体" w:hAnsi="宋体" w:eastAsia="宋体" w:cs="宋体"/>
                <w:color w:val="auto"/>
                <w:szCs w:val="21"/>
              </w:rPr>
            </w:pPr>
            <w:r>
              <w:rPr>
                <w:rFonts w:ascii="宋体" w:hAnsi="宋体" w:eastAsia="宋体" w:cs="宋体"/>
                <w:color w:val="auto"/>
                <w:szCs w:val="21"/>
              </w:rPr>
              <w:t>3</w:t>
            </w:r>
          </w:p>
        </w:tc>
        <w:tc>
          <w:tcPr>
            <w:tcW w:w="5765" w:type="dxa"/>
          </w:tcPr>
          <w:p>
            <w:pPr>
              <w:spacing w:before="274"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-3 </w:t>
            </w:r>
            <w:r>
              <w:rPr>
                <w:rFonts w:ascii="宋体" w:hAnsi="宋体" w:eastAsia="宋体" w:cs="宋体"/>
                <w:color w:val="auto"/>
                <w:spacing w:val="-6"/>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color w:val="auto"/>
                <w:szCs w:val="21"/>
              </w:rPr>
            </w:pPr>
            <w:r>
              <w:rPr>
                <w:rFonts w:ascii="宋体" w:hAnsi="宋体" w:eastAsia="宋体" w:cs="宋体"/>
                <w:color w:val="auto"/>
                <w:szCs w:val="21"/>
              </w:rPr>
              <w:t>4</w:t>
            </w:r>
          </w:p>
        </w:tc>
        <w:tc>
          <w:tcPr>
            <w:tcW w:w="5765" w:type="dxa"/>
          </w:tcPr>
          <w:p>
            <w:pPr>
              <w:spacing w:before="265"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-4 </w:t>
            </w:r>
            <w:r>
              <w:rPr>
                <w:rFonts w:ascii="宋体" w:hAnsi="宋体" w:eastAsia="宋体" w:cs="宋体"/>
                <w:color w:val="auto"/>
                <w:spacing w:val="-6"/>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rPr>
              <w:t>（不含税）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rPr>
              <w:t>（含税）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color w:val="auto"/>
        </w:rPr>
      </w:pPr>
    </w:p>
    <w:p>
      <w:pPr>
        <w:spacing w:before="78" w:line="198" w:lineRule="auto"/>
        <w:ind w:left="211" w:firstLine="202" w:firstLineChars="100"/>
        <w:rPr>
          <w:rFonts w:ascii="宋体" w:hAnsi="宋体" w:eastAsia="宋体" w:cs="宋体"/>
          <w:color w:val="auto"/>
          <w:sz w:val="24"/>
          <w:szCs w:val="24"/>
        </w:rPr>
      </w:pPr>
      <w:r>
        <w:rPr>
          <w:rFonts w:ascii="宋体" w:hAnsi="宋体" w:eastAsia="宋体" w:cs="宋体"/>
          <w:color w:val="auto"/>
          <w:spacing w:val="-4"/>
          <w:szCs w:val="21"/>
        </w:rPr>
        <w:t xml:space="preserve">注： </w:t>
      </w:r>
      <w:r>
        <w:rPr>
          <w:rFonts w:hint="eastAsia" w:ascii="宋体" w:hAnsi="宋体" w:eastAsia="宋体" w:cs="宋体"/>
          <w:color w:val="auto"/>
          <w:spacing w:val="-4"/>
          <w:szCs w:val="21"/>
        </w:rPr>
        <w:t xml:space="preserve"> </w:t>
      </w:r>
      <w:r>
        <w:rPr>
          <w:rFonts w:ascii="宋体" w:hAnsi="宋体" w:eastAsia="宋体" w:cs="宋体"/>
          <w:color w:val="auto"/>
          <w:spacing w:val="-4"/>
          <w:szCs w:val="21"/>
        </w:rPr>
        <w:t>1.此表格中的总价合</w:t>
      </w:r>
      <w:r>
        <w:rPr>
          <w:rFonts w:ascii="宋体" w:hAnsi="宋体" w:eastAsia="宋体" w:cs="宋体"/>
          <w:color w:val="auto"/>
          <w:spacing w:val="-2"/>
          <w:szCs w:val="21"/>
        </w:rPr>
        <w:t>计应与“投标货物数量及价目表”及开标一览表的价格一致</w:t>
      </w:r>
      <w:r>
        <w:rPr>
          <w:rFonts w:ascii="宋体" w:hAnsi="宋体" w:eastAsia="宋体" w:cs="宋体"/>
          <w:color w:val="auto"/>
          <w:spacing w:val="-2"/>
          <w:sz w:val="24"/>
          <w:szCs w:val="24"/>
        </w:rPr>
        <w:t>。</w:t>
      </w:r>
    </w:p>
    <w:p>
      <w:pPr>
        <w:spacing w:before="78" w:line="219" w:lineRule="auto"/>
        <w:ind w:firstLine="990" w:firstLineChars="500"/>
        <w:rPr>
          <w:rFonts w:ascii="宋体" w:hAnsi="宋体" w:eastAsia="宋体" w:cs="宋体"/>
          <w:color w:val="auto"/>
          <w:spacing w:val="-6"/>
          <w:szCs w:val="21"/>
        </w:rPr>
      </w:pPr>
      <w:r>
        <w:rPr>
          <w:rFonts w:hint="eastAsia" w:ascii="宋体" w:hAnsi="宋体" w:eastAsia="宋体" w:cs="宋体"/>
          <w:color w:val="auto"/>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color w:val="auto"/>
          <w:spacing w:val="-6"/>
          <w:szCs w:val="21"/>
        </w:rPr>
      </w:pPr>
      <w:r>
        <w:rPr>
          <w:rFonts w:hint="eastAsia" w:ascii="宋体" w:hAnsi="宋体" w:eastAsia="宋体" w:cs="宋体"/>
          <w:color w:val="auto"/>
          <w:spacing w:val="-6"/>
          <w:szCs w:val="21"/>
        </w:rPr>
        <w:t>3.因填写不规范造成废标及终止招标的，责任由投标人自负。</w:t>
      </w:r>
    </w:p>
    <w:p>
      <w:pPr>
        <w:pStyle w:val="16"/>
        <w:framePr w:wrap="around"/>
        <w:rPr>
          <w:color w:val="auto"/>
        </w:rPr>
      </w:pPr>
    </w:p>
    <w:p>
      <w:pPr>
        <w:pStyle w:val="16"/>
        <w:framePr w:wrap="around"/>
        <w:rPr>
          <w:color w:val="auto"/>
        </w:rPr>
      </w:pPr>
    </w:p>
    <w:p>
      <w:pPr>
        <w:spacing w:before="140" w:line="220" w:lineRule="auto"/>
        <w:ind w:left="2" w:firstLine="464" w:firstLineChars="200"/>
        <w:rPr>
          <w:rFonts w:ascii="宋体" w:hAnsi="宋体" w:eastAsia="宋体" w:cs="宋体"/>
          <w:color w:val="auto"/>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color w:val="auto"/>
          <w:spacing w:val="-4"/>
          <w:sz w:val="24"/>
          <w:szCs w:val="24"/>
        </w:rPr>
        <w:t xml:space="preserve">投标人(章)： </w:t>
      </w:r>
      <w:r>
        <w:rPr>
          <w:rFonts w:ascii="宋体" w:hAnsi="宋体" w:eastAsia="宋体" w:cs="宋体"/>
          <w:color w:val="auto"/>
          <w:spacing w:val="6"/>
          <w:sz w:val="24"/>
          <w:szCs w:val="24"/>
        </w:rPr>
        <w:t xml:space="preserve"> </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 xml:space="preserve"> 授权代表(签字)：</w:t>
      </w:r>
      <w:r>
        <w:rPr>
          <w:rFonts w:ascii="宋体" w:hAnsi="宋体" w:eastAsia="宋体" w:cs="宋体"/>
          <w:color w:val="auto"/>
          <w:spacing w:val="-2"/>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 xml:space="preserve">年  月  </w:t>
      </w:r>
      <w:r>
        <w:rPr>
          <w:rFonts w:hint="eastAsia" w:ascii="宋体" w:hAnsi="宋体" w:eastAsia="宋体" w:cs="宋体"/>
          <w:color w:val="auto"/>
          <w:spacing w:val="-2"/>
          <w:sz w:val="24"/>
          <w:szCs w:val="24"/>
        </w:rPr>
        <w:t>日</w:t>
      </w: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附件10</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商务条款偏离表</w:t>
      </w:r>
    </w:p>
    <w:p>
      <w:pPr>
        <w:rPr>
          <w:rFonts w:ascii="Calibri" w:hAnsi="Calibri" w:eastAsia="宋体" w:cs="Times New Roman"/>
          <w:color w:val="auto"/>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color w:val="auto"/>
                <w:sz w:val="24"/>
                <w:szCs w:val="24"/>
                <w:u w:val="single"/>
              </w:rPr>
              <w:t>特种车公司车间大屏项目土建施工</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是否偏离</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p>
        </w:tc>
      </w:tr>
    </w:tbl>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授权代表签字：</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日期：</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注：为避免歧义，无偏离也应要提报该表，并注明“无”字。如无该表则即使在其它部分已反映，将也被视为“无偏离”。</w:t>
      </w:r>
    </w:p>
    <w:p>
      <w:pPr>
        <w:rPr>
          <w:rFonts w:ascii="宋体" w:hAnsi="Calibri" w:eastAsia="宋体" w:cs="Times New Roman"/>
          <w:color w:val="auto"/>
          <w:szCs w:val="20"/>
        </w:rPr>
      </w:pPr>
    </w:p>
    <w:p>
      <w:pPr>
        <w:rPr>
          <w:rFonts w:ascii="宋体" w:hAnsi="Calibri" w:eastAsia="宋体" w:cs="宋体"/>
          <w:b/>
          <w:bCs/>
          <w:color w:val="auto"/>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color w:val="auto"/>
          <w:sz w:val="24"/>
          <w:szCs w:val="24"/>
        </w:rPr>
      </w:pPr>
      <w:r>
        <w:rPr>
          <w:rFonts w:hint="eastAsia" w:ascii="Times New Roman" w:hAnsi="Times New Roman" w:eastAsia="宋体" w:cs="Times New Roman"/>
          <w:b/>
          <w:bCs/>
          <w:color w:val="auto"/>
          <w:sz w:val="24"/>
          <w:szCs w:val="24"/>
        </w:rPr>
        <w:t>附件11 投标人承诺</w:t>
      </w:r>
    </w:p>
    <w:p>
      <w:pPr>
        <w:spacing w:line="272" w:lineRule="auto"/>
        <w:rPr>
          <w:rFonts w:ascii="Arial"/>
          <w:color w:val="auto"/>
        </w:rPr>
      </w:pPr>
    </w:p>
    <w:p>
      <w:pPr>
        <w:spacing w:before="75" w:line="228" w:lineRule="auto"/>
        <w:ind w:left="134"/>
        <w:rPr>
          <w:rFonts w:ascii="宋体" w:hAnsi="宋体" w:eastAsia="宋体" w:cs="宋体"/>
          <w:color w:val="auto"/>
          <w:sz w:val="24"/>
          <w:szCs w:val="24"/>
        </w:rPr>
      </w:pPr>
      <w:r>
        <w:rPr>
          <w:rFonts w:ascii="宋体" w:hAnsi="宋体" w:eastAsia="宋体" w:cs="宋体"/>
          <w:color w:val="auto"/>
          <w:spacing w:val="-10"/>
          <w:sz w:val="24"/>
          <w:szCs w:val="24"/>
        </w:rPr>
        <w:t>项</w:t>
      </w:r>
      <w:r>
        <w:rPr>
          <w:rFonts w:ascii="宋体" w:hAnsi="宋体" w:eastAsia="宋体" w:cs="宋体"/>
          <w:color w:val="auto"/>
          <w:spacing w:val="-9"/>
          <w:sz w:val="24"/>
          <w:szCs w:val="24"/>
        </w:rPr>
        <w:t>目</w:t>
      </w:r>
      <w:r>
        <w:rPr>
          <w:rFonts w:ascii="宋体" w:hAnsi="宋体" w:eastAsia="宋体" w:cs="宋体"/>
          <w:color w:val="auto"/>
          <w:spacing w:val="-5"/>
          <w:sz w:val="24"/>
          <w:szCs w:val="24"/>
        </w:rPr>
        <w:t>名称：</w:t>
      </w:r>
      <w:r>
        <w:rPr>
          <w:rFonts w:hint="eastAsia" w:ascii="宋体" w:hAnsi="宋体" w:eastAsia="宋体" w:cs="宋体"/>
          <w:color w:val="auto"/>
          <w:sz w:val="24"/>
          <w:szCs w:val="24"/>
          <w:u w:val="single"/>
        </w:rPr>
        <w:t>特种车公司车间大屏项目土建施工</w:t>
      </w:r>
    </w:p>
    <w:p>
      <w:pPr>
        <w:spacing w:before="306" w:line="227" w:lineRule="auto"/>
        <w:ind w:left="205"/>
        <w:rPr>
          <w:rFonts w:ascii="宋体" w:hAnsi="宋体" w:eastAsia="宋体" w:cs="宋体"/>
          <w:color w:val="auto"/>
          <w:sz w:val="24"/>
          <w:szCs w:val="24"/>
        </w:rPr>
      </w:pPr>
      <w:r>
        <w:rPr>
          <w:rFonts w:ascii="宋体" w:hAnsi="宋体" w:eastAsia="宋体" w:cs="宋体"/>
          <w:color w:val="auto"/>
          <w:spacing w:val="-4"/>
          <w:sz w:val="24"/>
          <w:szCs w:val="24"/>
        </w:rPr>
        <w:t xml:space="preserve">日期： </w:t>
      </w:r>
      <w:r>
        <w:rPr>
          <w:rFonts w:ascii="宋体" w:hAnsi="宋体" w:eastAsia="宋体" w:cs="宋体"/>
          <w:color w:val="auto"/>
          <w:spacing w:val="-2"/>
          <w:sz w:val="24"/>
          <w:szCs w:val="24"/>
        </w:rPr>
        <w:t xml:space="preserve">   年   月   日</w:t>
      </w:r>
    </w:p>
    <w:p>
      <w:pPr>
        <w:rPr>
          <w:color w:val="auto"/>
        </w:rPr>
      </w:pPr>
    </w:p>
    <w:p>
      <w:pPr>
        <w:spacing w:line="109" w:lineRule="exact"/>
        <w:rPr>
          <w:color w:val="auto"/>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color w:val="auto"/>
                <w:sz w:val="24"/>
                <w:szCs w:val="24"/>
              </w:rPr>
            </w:pPr>
            <w:r>
              <w:rPr>
                <w:rFonts w:ascii="宋体" w:hAnsi="宋体" w:eastAsia="宋体" w:cs="宋体"/>
                <w:color w:val="auto"/>
                <w:spacing w:val="5"/>
                <w:sz w:val="24"/>
                <w:szCs w:val="24"/>
              </w:rPr>
              <w:t>投</w:t>
            </w:r>
            <w:r>
              <w:rPr>
                <w:rFonts w:ascii="宋体" w:hAnsi="宋体" w:eastAsia="宋体" w:cs="宋体"/>
                <w:color w:val="auto"/>
                <w:spacing w:val="3"/>
                <w:sz w:val="24"/>
                <w:szCs w:val="24"/>
              </w:rPr>
              <w:t>标人承诺：</w:t>
            </w:r>
          </w:p>
          <w:p>
            <w:pPr>
              <w:spacing w:before="48" w:line="391" w:lineRule="auto"/>
              <w:ind w:left="125" w:right="115" w:firstLine="491"/>
              <w:rPr>
                <w:rFonts w:ascii="宋体" w:hAnsi="宋体" w:eastAsia="宋体" w:cs="宋体"/>
                <w:color w:val="auto"/>
                <w:sz w:val="23"/>
                <w:szCs w:val="23"/>
              </w:rPr>
            </w:pPr>
            <w:r>
              <w:rPr>
                <w:rFonts w:ascii="宋体" w:hAnsi="宋体" w:eastAsia="宋体" w:cs="宋体"/>
                <w:color w:val="auto"/>
                <w:spacing w:val="38"/>
                <w:sz w:val="24"/>
                <w:szCs w:val="24"/>
              </w:rPr>
              <w:t>我</w:t>
            </w:r>
            <w:r>
              <w:rPr>
                <w:rFonts w:ascii="宋体" w:hAnsi="宋体" w:eastAsia="宋体" w:cs="宋体"/>
                <w:color w:val="auto"/>
                <w:spacing w:val="21"/>
                <w:sz w:val="24"/>
                <w:szCs w:val="24"/>
              </w:rPr>
              <w:t>公司承诺遵守贵公司由于招标人公司政策变化引起的随时终止项目的要求并</w:t>
            </w:r>
            <w:r>
              <w:rPr>
                <w:rFonts w:ascii="宋体" w:hAnsi="宋体" w:eastAsia="宋体" w:cs="宋体"/>
                <w:color w:val="auto"/>
                <w:spacing w:val="12"/>
                <w:sz w:val="24"/>
                <w:szCs w:val="24"/>
              </w:rPr>
              <w:t>承</w:t>
            </w:r>
            <w:r>
              <w:rPr>
                <w:rFonts w:ascii="宋体" w:hAnsi="宋体" w:eastAsia="宋体" w:cs="宋体"/>
                <w:color w:val="auto"/>
                <w:spacing w:val="6"/>
                <w:sz w:val="24"/>
                <w:szCs w:val="24"/>
              </w:rPr>
              <w:t>担由此带来的一切损失</w:t>
            </w:r>
            <w:r>
              <w:rPr>
                <w:rFonts w:ascii="宋体" w:hAnsi="宋体" w:eastAsia="宋体" w:cs="宋体"/>
                <w:color w:val="auto"/>
                <w:spacing w:val="6"/>
                <w:sz w:val="23"/>
                <w:szCs w:val="23"/>
              </w:rPr>
              <w:t>。</w:t>
            </w:r>
          </w:p>
        </w:tc>
      </w:tr>
    </w:tbl>
    <w:p>
      <w:pPr>
        <w:keepNext/>
        <w:keepLines/>
        <w:rPr>
          <w:rFonts w:ascii="Times New Roman" w:hAnsi="Times New Roman" w:eastAsia="宋体" w:cs="Times New Roman"/>
          <w:b/>
          <w:bCs/>
          <w:color w:val="auto"/>
          <w:sz w:val="24"/>
          <w:szCs w:val="24"/>
        </w:rPr>
      </w:pPr>
    </w:p>
    <w:p>
      <w:pPr>
        <w:spacing w:before="75" w:line="227" w:lineRule="auto"/>
        <w:ind w:left="135"/>
        <w:rPr>
          <w:rFonts w:ascii="宋体" w:hAnsi="宋体" w:eastAsia="宋体" w:cs="宋体"/>
          <w:color w:val="auto"/>
          <w:spacing w:val="-2"/>
          <w:sz w:val="24"/>
          <w:szCs w:val="24"/>
        </w:rPr>
      </w:pPr>
    </w:p>
    <w:p>
      <w:pPr>
        <w:spacing w:before="75" w:line="227" w:lineRule="auto"/>
        <w:ind w:left="135"/>
        <w:rPr>
          <w:rFonts w:ascii="宋体" w:hAnsi="宋体" w:eastAsia="宋体" w:cs="宋体"/>
          <w:color w:val="auto"/>
          <w:spacing w:val="-2"/>
          <w:sz w:val="24"/>
          <w:szCs w:val="24"/>
        </w:rPr>
      </w:pPr>
    </w:p>
    <w:p>
      <w:pPr>
        <w:spacing w:before="75" w:line="227" w:lineRule="auto"/>
        <w:ind w:left="135"/>
        <w:rPr>
          <w:rFonts w:eastAsia="宋体"/>
          <w:color w:val="auto"/>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color w:val="auto"/>
          <w:spacing w:val="-2"/>
          <w:sz w:val="24"/>
          <w:szCs w:val="24"/>
        </w:rPr>
        <w:t>投标人名称 (盖章)：                法定代表人或授权代表(签字</w:t>
      </w:r>
      <w:r>
        <w:rPr>
          <w:rFonts w:ascii="宋体" w:hAnsi="宋体" w:eastAsia="宋体" w:cs="宋体"/>
          <w:color w:val="auto"/>
          <w:sz w:val="24"/>
          <w:szCs w:val="24"/>
        </w:rPr>
        <w:t>)</w:t>
      </w:r>
      <w:r>
        <w:rPr>
          <w:rFonts w:hint="eastAsia" w:ascii="宋体" w:hAnsi="宋体" w:eastAsia="宋体" w:cs="宋体"/>
          <w:color w:val="auto"/>
          <w:sz w:val="24"/>
          <w:szCs w:val="24"/>
        </w:rPr>
        <w:t>：</w:t>
      </w: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服务承诺函</w:t>
      </w:r>
    </w:p>
    <w:p>
      <w:pPr>
        <w:spacing w:line="240" w:lineRule="exact"/>
        <w:jc w:val="center"/>
        <w:rPr>
          <w:rFonts w:ascii="宋体" w:hAnsi="Calibri" w:eastAsia="宋体" w:cs="Times New Roman"/>
          <w:b/>
          <w:bCs/>
          <w:color w:val="auto"/>
          <w:sz w:val="36"/>
          <w:szCs w:val="20"/>
        </w:rPr>
      </w:pPr>
    </w:p>
    <w:p>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u w:val="single"/>
        </w:rPr>
        <w:t>特种车公司车间大屏项目土建施工</w:t>
      </w:r>
    </w:p>
    <w:p>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我代表（投标人名称）对中标合同产品的服务作如下承诺：</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pPr>
        <w:rPr>
          <w:rFonts w:ascii="宋体" w:hAnsi="Calibri" w:eastAsia="宋体" w:cs="宋体"/>
          <w:b/>
          <w:bCs/>
          <w:color w:val="auto"/>
          <w:sz w:val="28"/>
          <w:szCs w:val="20"/>
        </w:rPr>
      </w:pPr>
    </w:p>
    <w:p>
      <w:pPr>
        <w:pStyle w:val="16"/>
        <w:framePr w:wrap="around"/>
        <w:rPr>
          <w:color w:val="auto"/>
        </w:rPr>
      </w:pPr>
    </w:p>
    <w:p>
      <w:pPr>
        <w:rPr>
          <w:rFonts w:ascii="宋体" w:hAnsi="Calibri" w:eastAsia="宋体" w:cs="宋体"/>
          <w:b/>
          <w:bCs/>
          <w:color w:val="auto"/>
          <w:sz w:val="28"/>
          <w:szCs w:val="20"/>
        </w:rPr>
      </w:pPr>
    </w:p>
    <w:p>
      <w:pPr>
        <w:outlineLvl w:val="2"/>
        <w:rPr>
          <w:rFonts w:ascii="Calibri" w:hAnsi="Calibri" w:eastAsia="宋体" w:cs="Times New Roman"/>
          <w:color w:val="auto"/>
          <w:szCs w:val="20"/>
        </w:rPr>
      </w:pPr>
      <w:r>
        <w:rPr>
          <w:rFonts w:ascii="Calibri" w:hAnsi="Calibri" w:eastAsia="宋体" w:cs="Times New Roman"/>
          <w:color w:val="auto"/>
          <w:szCs w:val="20"/>
        </w:rPr>
        <w:br w:type="page"/>
      </w:r>
      <w:r>
        <w:rPr>
          <w:rFonts w:hint="eastAsia" w:ascii="Times New Roman" w:hAnsi="Times New Roman" w:eastAsia="宋体" w:cs="Times New Roman"/>
          <w:b/>
          <w:bCs/>
          <w:color w:val="auto"/>
          <w:sz w:val="24"/>
          <w:szCs w:val="24"/>
        </w:rPr>
        <w:t>附件13 投标文件封面及封口格式</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color w:val="auto"/>
                <w:szCs w:val="20"/>
              </w:rPr>
            </w:pPr>
          </w:p>
          <w:p>
            <w:pPr>
              <w:jc w:val="center"/>
              <w:rPr>
                <w:rFonts w:ascii="宋体" w:hAnsi="Times New Roman" w:eastAsia="宋体" w:cs="宋体"/>
                <w:b/>
                <w:color w:val="auto"/>
                <w:sz w:val="30"/>
                <w:szCs w:val="30"/>
              </w:rPr>
            </w:pPr>
            <w:r>
              <w:rPr>
                <w:rFonts w:hint="eastAsia" w:ascii="宋体" w:hAnsi="宋体" w:eastAsia="宋体" w:cs="宋体"/>
                <w:b/>
                <w:color w:val="auto"/>
                <w:sz w:val="30"/>
                <w:szCs w:val="30"/>
              </w:rPr>
              <w:t>技术</w:t>
            </w:r>
            <w:r>
              <w:rPr>
                <w:rFonts w:ascii="宋体" w:hAnsi="宋体" w:eastAsia="宋体" w:cs="宋体"/>
                <w:b/>
                <w:color w:val="auto"/>
                <w:sz w:val="30"/>
                <w:szCs w:val="30"/>
              </w:rPr>
              <w:t>/</w:t>
            </w:r>
            <w:r>
              <w:rPr>
                <w:rFonts w:hint="eastAsia" w:ascii="宋体" w:hAnsi="宋体" w:eastAsia="宋体" w:cs="宋体"/>
                <w:b/>
                <w:color w:val="auto"/>
                <w:sz w:val="30"/>
                <w:szCs w:val="30"/>
              </w:rPr>
              <w:t>资质</w:t>
            </w:r>
            <w:r>
              <w:rPr>
                <w:rFonts w:ascii="宋体" w:hAnsi="宋体" w:eastAsia="宋体" w:cs="宋体"/>
                <w:b/>
                <w:color w:val="auto"/>
                <w:sz w:val="30"/>
                <w:szCs w:val="30"/>
              </w:rPr>
              <w:t>/</w:t>
            </w:r>
            <w:r>
              <w:rPr>
                <w:rFonts w:hint="eastAsia" w:ascii="宋体" w:hAnsi="宋体" w:eastAsia="宋体" w:cs="宋体"/>
                <w:b/>
                <w:color w:val="auto"/>
                <w:sz w:val="30"/>
                <w:szCs w:val="30"/>
              </w:rPr>
              <w:t>商务文件</w:t>
            </w:r>
          </w:p>
          <w:p>
            <w:pPr>
              <w:rPr>
                <w:rFonts w:ascii="Times New Roman" w:hAnsi="Times New Roman" w:eastAsia="等线" w:cs="Times New Roman"/>
                <w:b/>
                <w:color w:val="auto"/>
                <w:sz w:val="30"/>
                <w:szCs w:val="30"/>
              </w:rPr>
            </w:pPr>
          </w:p>
          <w:p>
            <w:pPr>
              <w:jc w:val="center"/>
              <w:rPr>
                <w:rFonts w:ascii="Times New Roman" w:hAnsi="Times New Roman" w:eastAsia="宋体" w:cs="Times New Roman"/>
                <w:b/>
                <w:color w:val="auto"/>
                <w:sz w:val="30"/>
                <w:szCs w:val="30"/>
              </w:rPr>
            </w:pPr>
            <w:r>
              <w:rPr>
                <w:rFonts w:hint="eastAsia" w:ascii="宋体" w:hAnsi="宋体" w:eastAsia="宋体" w:cs="宋体"/>
                <w:b/>
                <w:color w:val="auto"/>
                <w:sz w:val="30"/>
                <w:szCs w:val="30"/>
              </w:rPr>
              <w:t>（</w:t>
            </w:r>
            <w:r>
              <w:rPr>
                <w:rFonts w:ascii="等线" w:hAnsi="等线" w:eastAsia="等线" w:cs="Times New Roman"/>
                <w:b/>
                <w:color w:val="auto"/>
                <w:sz w:val="30"/>
                <w:szCs w:val="30"/>
              </w:rPr>
              <w:t>1</w:t>
            </w:r>
            <w:r>
              <w:rPr>
                <w:rFonts w:hint="eastAsia" w:ascii="宋体" w:hAnsi="宋体" w:eastAsia="宋体" w:cs="宋体"/>
                <w:b/>
                <w:color w:val="auto"/>
                <w:sz w:val="30"/>
                <w:szCs w:val="30"/>
              </w:rPr>
              <w:t>正本）</w:t>
            </w:r>
          </w:p>
          <w:p>
            <w:pPr>
              <w:jc w:val="center"/>
              <w:rPr>
                <w:rFonts w:ascii="Times New Roman" w:hAnsi="Times New Roman" w:eastAsia="宋体" w:cs="Times New Roman"/>
                <w:b/>
                <w:color w:val="auto"/>
                <w:szCs w:val="20"/>
              </w:rPr>
            </w:pPr>
          </w:p>
          <w:p>
            <w:pPr>
              <w:jc w:val="center"/>
              <w:rPr>
                <w:rFonts w:ascii="Times New Roman" w:hAnsi="Times New Roman" w:eastAsia="宋体" w:cs="Times New Roman"/>
                <w:b/>
                <w:color w:val="auto"/>
                <w:szCs w:val="20"/>
              </w:rPr>
            </w:pP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项目名称：</w:t>
            </w:r>
            <w:r>
              <w:rPr>
                <w:rFonts w:hint="eastAsia" w:ascii="宋体" w:hAnsi="宋体" w:eastAsia="宋体" w:cs="宋体"/>
                <w:color w:val="auto"/>
                <w:sz w:val="24"/>
                <w:szCs w:val="24"/>
                <w:u w:val="single"/>
              </w:rPr>
              <w:t>特种车公司车间大屏项目土建施工</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投标人名称（公章）：</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地址：</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授权代表电话：</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传真：</w:t>
            </w:r>
          </w:p>
          <w:p>
            <w:pPr>
              <w:jc w:val="center"/>
              <w:rPr>
                <w:rFonts w:ascii="Times New Roman" w:hAnsi="Times New Roman" w:eastAsia="宋体" w:cs="Times New Roman"/>
                <w:b/>
                <w:color w:val="auto"/>
                <w:szCs w:val="20"/>
              </w:rPr>
            </w:pPr>
          </w:p>
          <w:p>
            <w:pPr>
              <w:jc w:val="center"/>
              <w:rPr>
                <w:rFonts w:ascii="Times New Roman" w:hAnsi="Times New Roman" w:eastAsia="宋体" w:cs="Times New Roman"/>
                <w:b/>
                <w:color w:val="auto"/>
                <w:szCs w:val="20"/>
              </w:rPr>
            </w:pPr>
          </w:p>
        </w:tc>
      </w:tr>
    </w:tbl>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授权代表签字：</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日期：</w:t>
      </w:r>
    </w:p>
    <w:p>
      <w:pPr>
        <w:pStyle w:val="16"/>
        <w:framePr w:wrap="around"/>
        <w:rPr>
          <w:color w:val="auto"/>
        </w:rPr>
      </w:pPr>
    </w:p>
    <w:p>
      <w:pPr>
        <w:jc w:val="right"/>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p>
    <w:p>
      <w:pPr>
        <w:rPr>
          <w:color w:val="auto"/>
        </w:r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outlineLvl w:val="2"/>
        <w:rPr>
          <w:rFonts w:hint="eastAsia" w:ascii="宋体" w:hAnsi="宋体" w:eastAsia="宋体" w:cs="宋体"/>
          <w:b/>
          <w:bCs/>
          <w:color w:val="auto"/>
          <w:sz w:val="24"/>
          <w:szCs w:val="24"/>
          <w:lang w:eastAsia="zh-CN"/>
        </w:rPr>
      </w:pPr>
      <w:r>
        <w:rPr>
          <w:rFonts w:hint="eastAsia" w:ascii="Times New Roman" w:hAnsi="Times New Roman" w:eastAsia="宋体" w:cs="Times New Roman"/>
          <w:b/>
          <w:bCs/>
          <w:color w:val="auto"/>
          <w:sz w:val="24"/>
          <w:szCs w:val="24"/>
        </w:rPr>
        <w:t>附件14技术标评分标准</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无技术标评项目，可忽略此附件</w:t>
      </w:r>
      <w:r>
        <w:rPr>
          <w:rFonts w:hint="eastAsia" w:ascii="Times New Roman" w:hAnsi="Times New Roman" w:eastAsia="宋体" w:cs="Times New Roman"/>
          <w:b/>
          <w:bCs/>
          <w:color w:val="auto"/>
          <w:sz w:val="24"/>
          <w:szCs w:val="24"/>
          <w:lang w:eastAsia="zh-CN"/>
        </w:rPr>
        <w:t>）</w:t>
      </w:r>
    </w:p>
    <w:tbl>
      <w:tblPr>
        <w:tblStyle w:val="35"/>
        <w:tblW w:w="9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47"/>
        <w:gridCol w:w="568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评分项目</w:t>
            </w:r>
          </w:p>
        </w:tc>
        <w:tc>
          <w:tcPr>
            <w:tcW w:w="1547" w:type="dxa"/>
          </w:tcPr>
          <w:p>
            <w:pPr>
              <w:rPr>
                <w:rFonts w:ascii="宋体" w:hAnsi="宋体" w:eastAsia="宋体" w:cs="宋体"/>
                <w:b/>
                <w:bCs/>
                <w:color w:val="auto"/>
                <w:sz w:val="24"/>
                <w:szCs w:val="24"/>
              </w:rPr>
            </w:pPr>
            <w:r>
              <w:rPr>
                <w:rFonts w:hint="eastAsia" w:ascii="宋体" w:hAnsi="宋体" w:eastAsia="宋体" w:cs="宋体"/>
                <w:b/>
                <w:bCs/>
                <w:color w:val="auto"/>
                <w:sz w:val="24"/>
                <w:szCs w:val="24"/>
              </w:rPr>
              <w:t>评分因素</w:t>
            </w: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说明</w:t>
            </w:r>
          </w:p>
        </w:tc>
        <w:tc>
          <w:tcPr>
            <w:tcW w:w="1305" w:type="dxa"/>
          </w:tcPr>
          <w:p>
            <w:pPr>
              <w:rPr>
                <w:rFonts w:ascii="宋体" w:hAnsi="宋体" w:eastAsia="宋体" w:cs="宋体"/>
                <w:b/>
                <w:bCs/>
                <w:color w:val="auto"/>
                <w:sz w:val="24"/>
                <w:szCs w:val="24"/>
              </w:rPr>
            </w:pPr>
            <w:r>
              <w:rPr>
                <w:rFonts w:hint="eastAsia" w:ascii="宋体" w:hAnsi="宋体" w:eastAsia="宋体" w:cs="宋体"/>
                <w:b/>
                <w:bCs/>
                <w:color w:val="auto"/>
                <w:sz w:val="24"/>
                <w:szCs w:val="24"/>
              </w:rPr>
              <w:t>分值分配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jc w:val="center"/>
        </w:trPr>
        <w:tc>
          <w:tcPr>
            <w:tcW w:w="1271" w:type="dxa"/>
            <w:vMerge w:val="restart"/>
            <w:tcBorders>
              <w:left w:val="single" w:color="auto" w:sz="4" w:space="0"/>
              <w:right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技术部分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（100分）</w:t>
            </w: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实施方案可行性</w:t>
            </w:r>
          </w:p>
        </w:tc>
        <w:tc>
          <w:tcPr>
            <w:tcW w:w="5689" w:type="dxa"/>
          </w:tcPr>
          <w:p>
            <w:pPr>
              <w:rPr>
                <w:rFonts w:ascii="宋体" w:hAnsi="宋体" w:eastAsia="宋体" w:cs="宋体"/>
                <w:b/>
                <w:bCs/>
                <w:color w:val="auto"/>
                <w:sz w:val="24"/>
                <w:szCs w:val="24"/>
              </w:rPr>
            </w:pPr>
            <w:r>
              <w:rPr>
                <w:rFonts w:hint="eastAsia" w:ascii="宋体" w:hAnsi="宋体" w:eastAsia="宋体" w:cs="宋体"/>
                <w:b/>
                <w:bCs/>
                <w:color w:val="auto"/>
                <w:sz w:val="24"/>
                <w:szCs w:val="24"/>
              </w:rPr>
              <w:t>考察实施方案的全面性及针对性，从现状调研、线路勘查、系统对接、方案设计、技术培训等方面进行评价。根据实施方案中各分项包含的具体实施内容、实施方式方法、使用的工具等方面，由评标专家根据评分标准进行打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项目实施方案有问题或不符合招标人的技术要求，技术路线不清晰，内容不明确。 0分-5分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实施方案基本合理，技术路线较为清晰；25分-40分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实施方案合理可行，技术路线清晰，内容明确，设备核心部件和技术水平先进。 41分-50分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技术要求符合标书要求</w:t>
            </w:r>
          </w:p>
        </w:tc>
        <w:tc>
          <w:tcPr>
            <w:tcW w:w="5689" w:type="dxa"/>
            <w:tcBorders>
              <w:bottom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技术要求不符合标书要求，0-5分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技术要求偏离标书要求，但能满足使用要求，12-14分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技术要求符合或优于标书要求，15-20分</w:t>
            </w:r>
          </w:p>
        </w:tc>
        <w:tc>
          <w:tcPr>
            <w:tcW w:w="1305" w:type="dxa"/>
            <w:tcBorders>
              <w:bottom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投标人实力</w:t>
            </w: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需提供有效的认证证书复印件并加盖厂商公章，原件备查：</w:t>
            </w:r>
          </w:p>
          <w:p>
            <w:pPr>
              <w:rPr>
                <w:rFonts w:ascii="宋体" w:hAnsi="宋体" w:eastAsia="宋体" w:cs="宋体"/>
                <w:b/>
                <w:bCs/>
                <w:color w:val="auto"/>
                <w:sz w:val="24"/>
                <w:szCs w:val="24"/>
              </w:rPr>
            </w:pPr>
            <w:r>
              <w:rPr>
                <w:rFonts w:hint="eastAsia" w:ascii="宋体" w:hAnsi="宋体" w:eastAsia="宋体" w:cs="宋体"/>
                <w:b/>
                <w:bCs/>
                <w:color w:val="auto"/>
                <w:sz w:val="24"/>
                <w:szCs w:val="24"/>
              </w:rPr>
              <w:t>1、ISO9001-质量管理体系认证证书</w:t>
            </w:r>
          </w:p>
          <w:p>
            <w:pPr>
              <w:rPr>
                <w:rFonts w:ascii="宋体" w:hAnsi="宋体" w:eastAsia="宋体" w:cs="宋体"/>
                <w:b/>
                <w:bCs/>
                <w:color w:val="auto"/>
                <w:sz w:val="24"/>
                <w:szCs w:val="24"/>
              </w:rPr>
            </w:pPr>
            <w:r>
              <w:rPr>
                <w:rFonts w:hint="eastAsia" w:ascii="宋体" w:hAnsi="宋体" w:eastAsia="宋体" w:cs="宋体"/>
                <w:b/>
                <w:bCs/>
                <w:color w:val="auto"/>
                <w:sz w:val="24"/>
                <w:szCs w:val="24"/>
              </w:rPr>
              <w:t>2、企业信用等级证书-AAA</w:t>
            </w:r>
          </w:p>
          <w:p>
            <w:pPr>
              <w:rPr>
                <w:rFonts w:ascii="宋体" w:hAnsi="宋体" w:eastAsia="宋体" w:cs="宋体"/>
                <w:b/>
                <w:bCs/>
                <w:color w:val="auto"/>
                <w:sz w:val="24"/>
                <w:szCs w:val="24"/>
              </w:rPr>
            </w:pPr>
            <w:r>
              <w:rPr>
                <w:rFonts w:hint="eastAsia" w:ascii="宋体" w:hAnsi="宋体" w:eastAsia="宋体" w:cs="宋体"/>
                <w:b/>
                <w:bCs/>
                <w:color w:val="auto"/>
                <w:sz w:val="24"/>
                <w:szCs w:val="24"/>
              </w:rPr>
              <w:t>3、企业的生产规模</w:t>
            </w:r>
          </w:p>
          <w:p>
            <w:pPr>
              <w:rPr>
                <w:rFonts w:ascii="宋体" w:hAnsi="宋体" w:eastAsia="宋体" w:cs="宋体"/>
                <w:b/>
                <w:bCs/>
                <w:color w:val="auto"/>
                <w:sz w:val="24"/>
                <w:szCs w:val="24"/>
              </w:rPr>
            </w:pPr>
            <w:r>
              <w:rPr>
                <w:rFonts w:hint="eastAsia" w:ascii="宋体" w:hAnsi="宋体" w:eastAsia="宋体" w:cs="宋体"/>
                <w:b/>
                <w:bCs/>
                <w:color w:val="auto"/>
                <w:sz w:val="24"/>
                <w:szCs w:val="24"/>
              </w:rPr>
              <w:t>4、投标人的装备制造能力、生产设备和加工工艺先进、完善程度</w:t>
            </w:r>
          </w:p>
          <w:p>
            <w:pPr>
              <w:rPr>
                <w:rFonts w:ascii="宋体" w:hAnsi="宋体" w:eastAsia="宋体" w:cs="宋体"/>
                <w:b/>
                <w:bCs/>
                <w:color w:val="auto"/>
                <w:sz w:val="24"/>
                <w:szCs w:val="24"/>
              </w:rPr>
            </w:pPr>
          </w:p>
          <w:p>
            <w:pPr>
              <w:rPr>
                <w:rFonts w:ascii="宋体" w:hAnsi="宋体" w:eastAsia="宋体" w:cs="宋体"/>
                <w:b/>
                <w:bCs/>
                <w:color w:val="auto"/>
                <w:sz w:val="24"/>
                <w:szCs w:val="24"/>
              </w:rPr>
            </w:pPr>
            <w:r>
              <w:rPr>
                <w:rFonts w:hint="eastAsia" w:ascii="宋体" w:hAnsi="宋体" w:eastAsia="宋体" w:cs="宋体"/>
                <w:b/>
                <w:bCs/>
                <w:color w:val="auto"/>
                <w:sz w:val="24"/>
                <w:szCs w:val="24"/>
              </w:rPr>
              <w:t>证书每提供一项得1分，最高得10分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同类项目业绩</w:t>
            </w:r>
          </w:p>
          <w:p>
            <w:pPr>
              <w:rPr>
                <w:rFonts w:ascii="宋体" w:hAnsi="宋体" w:eastAsia="宋体" w:cs="宋体"/>
                <w:b/>
                <w:bCs/>
                <w:color w:val="auto"/>
                <w:sz w:val="24"/>
                <w:szCs w:val="24"/>
              </w:rPr>
            </w:pP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1、投标人近三年以来(以合同签订时间为准）承接的大型制造业同类项目案例合同原件扫描件，其中必须包括合同首页、合同金额所在页、签字盖章页及合同标的页，每提供一项得5分，最高得15分。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交货期</w:t>
            </w: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是否能满足标书和招标人要求的交货期，0-5分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71" w:type="dxa"/>
            <w:tcBorders>
              <w:left w:val="single" w:color="auto" w:sz="4" w:space="0"/>
              <w:right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合计</w:t>
            </w:r>
          </w:p>
        </w:tc>
        <w:tc>
          <w:tcPr>
            <w:tcW w:w="1547" w:type="dxa"/>
            <w:vAlign w:val="center"/>
          </w:tcPr>
          <w:p>
            <w:pPr>
              <w:rPr>
                <w:rFonts w:ascii="宋体" w:hAnsi="宋体" w:eastAsia="宋体" w:cs="宋体"/>
                <w:b/>
                <w:bCs/>
                <w:color w:val="auto"/>
                <w:sz w:val="24"/>
                <w:szCs w:val="24"/>
              </w:rPr>
            </w:pPr>
          </w:p>
        </w:tc>
        <w:tc>
          <w:tcPr>
            <w:tcW w:w="5689" w:type="dxa"/>
            <w:vAlign w:val="center"/>
          </w:tcPr>
          <w:p>
            <w:pPr>
              <w:rPr>
                <w:rFonts w:ascii="宋体" w:hAnsi="宋体" w:eastAsia="宋体" w:cs="宋体"/>
                <w:b/>
                <w:bCs/>
                <w:color w:val="auto"/>
                <w:sz w:val="24"/>
                <w:szCs w:val="24"/>
              </w:rPr>
            </w:pP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100</w:t>
            </w:r>
          </w:p>
        </w:tc>
      </w:tr>
    </w:tbl>
    <w:p>
      <w:pPr>
        <w:rPr>
          <w:rFonts w:ascii="宋体" w:hAnsi="宋体" w:eastAsia="宋体" w:cs="宋体"/>
          <w:b/>
          <w:bCs/>
          <w:color w:val="auto"/>
          <w:sz w:val="24"/>
          <w:szCs w:val="24"/>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r>
        <w:rPr>
          <w:rFonts w:hint="eastAsia"/>
          <w:color w:val="auto"/>
        </w:rPr>
        <w:t>附件15 SRM非生产供应商注册操作手册</w:t>
      </w:r>
    </w:p>
    <w:p>
      <w:pPr>
        <w:pStyle w:val="16"/>
        <w:framePr w:wrap="around"/>
        <w:rPr>
          <w:color w:val="auto"/>
        </w:rPr>
      </w:pPr>
    </w:p>
    <w:p>
      <w:pPr>
        <w:adjustRightInd w:val="0"/>
        <w:snapToGrid w:val="0"/>
        <w:spacing w:line="360" w:lineRule="auto"/>
        <w:jc w:val="left"/>
        <w:rPr>
          <w:rFonts w:ascii="宋体" w:hAnsi="宋体" w:eastAsia="宋体" w:cs="宋体"/>
          <w:color w:val="auto"/>
          <w:sz w:val="24"/>
          <w:szCs w:val="24"/>
        </w:rPr>
      </w:pPr>
      <w:r>
        <w:rPr>
          <w:rFonts w:ascii="宋体" w:hAnsi="宋体" w:eastAsia="宋体" w:cs="宋体"/>
          <w:color w:val="auto"/>
          <w:sz w:val="24"/>
          <w:szCs w:val="24"/>
        </w:rPr>
        <w:t>浏览器中输入地址;</w:t>
      </w:r>
    </w:p>
    <w:p>
      <w:pPr>
        <w:adjustRightInd w:val="0"/>
        <w:snapToGrid w:val="0"/>
        <w:spacing w:line="360" w:lineRule="auto"/>
        <w:jc w:val="left"/>
        <w:rPr>
          <w:rFonts w:ascii="宋体" w:hAnsi="宋体" w:eastAsia="宋体" w:cs="宋体"/>
          <w:color w:val="auto"/>
          <w:sz w:val="24"/>
          <w:szCs w:val="24"/>
        </w:rPr>
      </w:pPr>
      <w:r>
        <w:rPr>
          <w:color w:val="auto"/>
        </w:rPr>
        <w:fldChar w:fldCharType="begin"/>
      </w:r>
      <w:r>
        <w:rPr>
          <w:color w:val="auto"/>
        </w:rPr>
        <w:instrText xml:space="preserve"> HYPERLINK "http://ecaitong.sinotruk.com:8012/#/login" \t "dlt" </w:instrText>
      </w:r>
      <w:r>
        <w:rPr>
          <w:color w:val="auto"/>
        </w:rPr>
        <w:fldChar w:fldCharType="separate"/>
      </w:r>
      <w:r>
        <w:rPr>
          <w:rFonts w:ascii="宋体" w:hAnsi="宋体" w:eastAsia="宋体" w:cs="宋体"/>
          <w:color w:val="auto"/>
          <w:sz w:val="24"/>
          <w:szCs w:val="24"/>
        </w:rPr>
        <w:t>http</w:t>
      </w:r>
      <w:r>
        <w:rPr>
          <w:rFonts w:hint="eastAsia" w:ascii="宋体" w:hAnsi="宋体" w:eastAsia="宋体" w:cs="宋体"/>
          <w:color w:val="auto"/>
          <w:sz w:val="24"/>
          <w:szCs w:val="24"/>
        </w:rPr>
        <w:t>s</w:t>
      </w:r>
      <w:r>
        <w:rPr>
          <w:rFonts w:ascii="宋体" w:hAnsi="宋体" w:eastAsia="宋体" w:cs="宋体"/>
          <w:color w:val="auto"/>
          <w:sz w:val="24"/>
          <w:szCs w:val="24"/>
        </w:rPr>
        <w:t>://ecaitong.sinotruk.com:8012/#/login</w:t>
      </w:r>
      <w:r>
        <w:rPr>
          <w:rFonts w:ascii="宋体" w:hAnsi="宋体" w:eastAsia="宋体" w:cs="宋体"/>
          <w:color w:val="auto"/>
          <w:sz w:val="24"/>
          <w:szCs w:val="24"/>
        </w:rPr>
        <w:fldChar w:fldCharType="end"/>
      </w:r>
    </w:p>
    <w:p>
      <w:pPr>
        <w:adjustRightInd w:val="0"/>
        <w:snapToGrid w:val="0"/>
        <w:spacing w:line="360" w:lineRule="auto"/>
        <w:jc w:val="left"/>
        <w:rPr>
          <w:rFonts w:ascii="宋体" w:hAnsi="宋体" w:eastAsia="宋体" w:cs="宋体"/>
          <w:color w:val="auto"/>
          <w:sz w:val="24"/>
          <w:szCs w:val="24"/>
        </w:rPr>
      </w:pPr>
      <w:r>
        <w:rPr>
          <w:rFonts w:ascii="宋体" w:hAnsi="宋体" w:eastAsia="宋体" w:cs="宋体"/>
          <w:color w:val="auto"/>
          <w:sz w:val="24"/>
          <w:szCs w:val="24"/>
        </w:rPr>
        <w:t>1.点击立即注册</w:t>
      </w:r>
    </w:p>
    <w:p>
      <w:pPr>
        <w:snapToGrid w:val="0"/>
        <w:spacing w:line="312" w:lineRule="auto"/>
        <w:rPr>
          <w:color w:val="auto"/>
        </w:rPr>
      </w:pPr>
      <w:r>
        <w:rPr>
          <w:color w:val="auto"/>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2.</w:t>
      </w:r>
      <w:r>
        <w:rPr>
          <w:rFonts w:ascii="宋体" w:hAnsi="宋体" w:eastAsia="宋体" w:cs="宋体"/>
          <w:color w:val="auto"/>
          <w:sz w:val="24"/>
          <w:szCs w:val="28"/>
        </w:rPr>
        <w:t>填写手机号码（没有注册过的）</w:t>
      </w:r>
    </w:p>
    <w:p>
      <w:pPr>
        <w:snapToGrid w:val="0"/>
        <w:spacing w:line="312" w:lineRule="auto"/>
        <w:rPr>
          <w:color w:val="auto"/>
        </w:rPr>
      </w:pPr>
      <w:r>
        <w:rPr>
          <w:color w:val="auto"/>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3.</w:t>
      </w:r>
      <w:r>
        <w:rPr>
          <w:rFonts w:ascii="宋体" w:hAnsi="宋体" w:eastAsia="宋体" w:cs="宋体"/>
          <w:color w:val="auto"/>
          <w:sz w:val="24"/>
          <w:szCs w:val="28"/>
        </w:rPr>
        <w:t>注册成功登录这个手机号码的账号进入系统，点击供应商注册</w:t>
      </w:r>
    </w:p>
    <w:p>
      <w:pPr>
        <w:snapToGrid w:val="0"/>
        <w:spacing w:line="312" w:lineRule="auto"/>
        <w:rPr>
          <w:color w:val="auto"/>
        </w:rPr>
      </w:pPr>
      <w:r>
        <w:rPr>
          <w:color w:val="auto"/>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4.</w:t>
      </w:r>
      <w:r>
        <w:rPr>
          <w:rFonts w:ascii="宋体" w:hAnsi="宋体" w:eastAsia="宋体" w:cs="宋体"/>
          <w:color w:val="auto"/>
          <w:sz w:val="24"/>
          <w:szCs w:val="28"/>
        </w:rPr>
        <w:t>点击新增</w:t>
      </w:r>
    </w:p>
    <w:p>
      <w:pPr>
        <w:snapToGrid w:val="0"/>
        <w:spacing w:line="312" w:lineRule="auto"/>
        <w:rPr>
          <w:color w:val="auto"/>
        </w:rPr>
      </w:pPr>
      <w:r>
        <w:rPr>
          <w:color w:val="auto"/>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5.</w:t>
      </w:r>
      <w:r>
        <w:rPr>
          <w:rFonts w:ascii="宋体" w:hAnsi="宋体" w:eastAsia="宋体" w:cs="宋体"/>
          <w:color w:val="auto"/>
          <w:sz w:val="24"/>
          <w:szCs w:val="28"/>
        </w:rPr>
        <w:t>按要求填写所有信息，注意非生产类要填写合作单位，最后提交审批</w:t>
      </w:r>
    </w:p>
    <w:p>
      <w:pPr>
        <w:pStyle w:val="16"/>
        <w:framePr w:wrap="around"/>
        <w:rPr>
          <w:color w:val="auto"/>
        </w:rPr>
      </w:pPr>
    </w:p>
    <w:p>
      <w:pPr>
        <w:rPr>
          <w:color w:val="auto"/>
        </w:rPr>
      </w:pPr>
      <w:r>
        <w:rPr>
          <w:color w:val="auto"/>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pPr>
        <w:pStyle w:val="16"/>
        <w:framePr w:wrap="around"/>
        <w:rPr>
          <w:color w:val="auto"/>
        </w:rPr>
      </w:pPr>
      <w:r>
        <w:rPr>
          <w:color w:val="auto"/>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pPr>
        <w:pStyle w:val="16"/>
        <w:framePr w:wrap="around"/>
        <w:rPr>
          <w:color w:val="auto"/>
        </w:rPr>
      </w:pPr>
    </w:p>
    <w:p>
      <w:pPr>
        <w:rPr>
          <w:rFonts w:ascii="宋体" w:hAnsi="宋体" w:eastAsia="宋体" w:cs="宋体"/>
          <w:b/>
          <w:bCs/>
          <w:color w:val="auto"/>
          <w:sz w:val="24"/>
          <w:szCs w:val="28"/>
          <w:highlight w:val="yellow"/>
        </w:rPr>
      </w:pPr>
      <w:r>
        <w:rPr>
          <w:rFonts w:hint="eastAsia" w:ascii="宋体" w:hAnsi="宋体" w:eastAsia="宋体" w:cs="宋体"/>
          <w:b/>
          <w:bCs/>
          <w:color w:val="auto"/>
          <w:sz w:val="24"/>
          <w:szCs w:val="28"/>
          <w:highlight w:val="yellow"/>
        </w:rPr>
        <w:t>注：</w:t>
      </w:r>
    </w:p>
    <w:p>
      <w:pPr>
        <w:rPr>
          <w:rFonts w:ascii="宋体" w:hAnsi="宋体" w:eastAsia="宋体" w:cs="宋体"/>
          <w:b/>
          <w:bCs/>
          <w:color w:val="auto"/>
          <w:sz w:val="24"/>
          <w:szCs w:val="28"/>
          <w:highlight w:val="yellow"/>
        </w:rPr>
      </w:pPr>
      <w:r>
        <w:rPr>
          <w:rFonts w:hint="eastAsia" w:ascii="宋体" w:hAnsi="宋体" w:eastAsia="宋体" w:cs="宋体"/>
          <w:b/>
          <w:bCs/>
          <w:color w:val="auto"/>
          <w:sz w:val="24"/>
          <w:szCs w:val="28"/>
          <w:highlight w:val="yellow"/>
        </w:rPr>
        <w:t>1.“项目名称”和“采购形式编号”见投标须知前附表1.1；</w:t>
      </w:r>
    </w:p>
    <w:p>
      <w:pPr>
        <w:pStyle w:val="16"/>
        <w:framePr w:wrap="around"/>
        <w:rPr>
          <w:color w:val="auto"/>
        </w:rPr>
      </w:pPr>
      <w:r>
        <w:rPr>
          <w:rFonts w:hint="eastAsia"/>
          <w:color w:val="auto"/>
          <w:highlight w:val="yellow"/>
        </w:rPr>
        <w:t>2.配套能力“供货类别”填“工艺设备类”，业务主管部门选择“工艺研究院”。</w:t>
      </w:r>
    </w:p>
    <w:p>
      <w:pPr>
        <w:pStyle w:val="16"/>
        <w:framePr w:wrap="around"/>
        <w:rPr>
          <w:color w:val="auto"/>
        </w:rPr>
        <w:sectPr>
          <w:pgSz w:w="11906" w:h="16838"/>
          <w:pgMar w:top="1588" w:right="1418" w:bottom="1134" w:left="1418" w:header="851" w:footer="992" w:gutter="0"/>
          <w:cols w:space="720" w:num="1"/>
          <w:titlePg/>
          <w:docGrid w:type="lines" w:linePitch="312" w:charSpace="0"/>
        </w:sectPr>
      </w:pPr>
    </w:p>
    <w:p>
      <w:pPr>
        <w:pStyle w:val="16"/>
        <w:framePr w:wrap="around"/>
        <w:rPr>
          <w:color w:val="auto"/>
        </w:rPr>
      </w:pPr>
      <w:r>
        <w:rPr>
          <w:rFonts w:hint="eastAsia"/>
          <w:color w:val="auto"/>
        </w:rPr>
        <w:t>附件16 SRM系统供应商用户手册</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系统网址：</w:t>
      </w:r>
      <w:r>
        <w:rPr>
          <w:color w:val="auto"/>
        </w:rPr>
        <w:fldChar w:fldCharType="begin"/>
      </w:r>
      <w:r>
        <w:rPr>
          <w:color w:val="auto"/>
        </w:rPr>
        <w:instrText xml:space="preserve"> HYPERLINK "http://ecaitong.sinotruk.com:8012/" \t "dlt" </w:instrText>
      </w:r>
      <w:r>
        <w:rPr>
          <w:color w:val="auto"/>
        </w:rPr>
        <w:fldChar w:fldCharType="separate"/>
      </w:r>
      <w:r>
        <w:rPr>
          <w:rStyle w:val="43"/>
          <w:rFonts w:hint="eastAsia" w:ascii="宋体" w:hAnsi="宋体" w:eastAsia="宋体" w:cs="宋体"/>
          <w:color w:val="auto"/>
          <w:sz w:val="24"/>
          <w:szCs w:val="24"/>
        </w:rPr>
        <w:t>https://ecaitong.sinotruk.com:8012/</w:t>
      </w:r>
      <w:r>
        <w:rPr>
          <w:rStyle w:val="43"/>
          <w:rFonts w:hint="eastAsia" w:ascii="宋体" w:hAnsi="宋体" w:eastAsia="宋体" w:cs="宋体"/>
          <w:color w:val="auto"/>
          <w:sz w:val="24"/>
          <w:szCs w:val="24"/>
        </w:rPr>
        <w:fldChar w:fldCharType="end"/>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用 户 名：gys+供应商代码（注意：注册完毕后，用户名不要用手机号登录）</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初始密码：</w:t>
      </w:r>
      <w:r>
        <w:rPr>
          <w:rFonts w:hint="eastAsia" w:ascii="宋体" w:hAnsi="宋体" w:eastAsia="宋体" w:cs="宋体"/>
          <w:color w:val="auto"/>
          <w:sz w:val="24"/>
          <w:szCs w:val="24"/>
          <w:highlight w:val="yellow"/>
        </w:rPr>
        <w:t>scm@2022</w:t>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1.供应商应标</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供应商应标</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点击应标，上传文件之后点击提交。</w:t>
      </w:r>
    </w:p>
    <w:p>
      <w:pPr>
        <w:rPr>
          <w:color w:val="auto"/>
        </w:rPr>
      </w:pPr>
      <w:r>
        <w:rPr>
          <w:color w:val="auto"/>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color w:val="auto"/>
        </w:rPr>
      </w:pP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2.供应商投标</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供应商投标</w:t>
      </w:r>
    </w:p>
    <w:p>
      <w:pPr>
        <w:rPr>
          <w:rFonts w:ascii="宋体" w:hAnsi="宋体" w:eastAsia="宋体" w:cs="宋体"/>
          <w:color w:val="auto"/>
        </w:rPr>
      </w:pPr>
      <w:r>
        <w:rPr>
          <w:rFonts w:ascii="宋体" w:hAnsi="宋体" w:eastAsia="宋体" w:cs="宋体"/>
          <w:color w:val="auto"/>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auto"/>
          <w:sz w:val="24"/>
          <w:szCs w:val="28"/>
        </w:rPr>
      </w:pPr>
      <w:r>
        <w:rPr>
          <w:rFonts w:ascii="宋体" w:hAnsi="宋体" w:eastAsia="宋体" w:cs="宋体"/>
          <w:color w:val="auto"/>
          <w:sz w:val="24"/>
          <w:szCs w:val="28"/>
        </w:rPr>
        <w:t>点击投标按钮，进入详情页，输入投标报价并上传相应的附件。</w:t>
      </w:r>
    </w:p>
    <w:p>
      <w:pPr>
        <w:pStyle w:val="16"/>
        <w:framePr w:wrap="around"/>
        <w:rPr>
          <w:color w:val="auto"/>
        </w:rPr>
      </w:pPr>
      <w:r>
        <w:rPr>
          <w:rFonts w:hint="eastAsia"/>
          <w:color w:val="auto"/>
          <w:highlight w:val="yellow"/>
        </w:rPr>
        <w:t>注意：系统内的投标报价单位为“万元”，如开标现场发现填错报价，即直接淘汰。</w:t>
      </w:r>
    </w:p>
    <w:p>
      <w:pPr>
        <w:pStyle w:val="5"/>
        <w:ind w:left="425" w:hanging="425"/>
        <w:rPr>
          <w:rFonts w:eastAsia="Arial" w:cs="Arial"/>
          <w:color w:val="auto"/>
        </w:rPr>
      </w:pPr>
      <w:r>
        <w:rPr>
          <w:rFonts w:eastAsia="Arial" w:cs="Arial"/>
          <w:color w:val="auto"/>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3.供应商技术标澄清函</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供应商技术标澄清函</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点击编辑按钮进入系统，上传技术标澄清函。</w:t>
      </w:r>
    </w:p>
    <w:p>
      <w:pPr>
        <w:spacing w:line="360" w:lineRule="auto"/>
        <w:rPr>
          <w:rFonts w:ascii="Arial" w:hAnsi="Arial" w:eastAsia="Arial" w:cs="Arial"/>
          <w:color w:val="auto"/>
          <w:sz w:val="28"/>
        </w:rPr>
      </w:pPr>
      <w:r>
        <w:rPr>
          <w:rFonts w:ascii="宋体" w:hAnsi="宋体" w:eastAsia="宋体" w:cs="宋体"/>
          <w:color w:val="auto"/>
          <w:sz w:val="24"/>
          <w:szCs w:val="24"/>
        </w:rPr>
        <w:t>开标之后所有投标的供应商都可编辑提交，技术标入围之后</w:t>
      </w:r>
      <w:r>
        <w:rPr>
          <w:rFonts w:hint="eastAsia" w:ascii="宋体" w:hAnsi="宋体" w:eastAsia="宋体" w:cs="宋体"/>
          <w:color w:val="auto"/>
          <w:sz w:val="24"/>
          <w:szCs w:val="24"/>
        </w:rPr>
        <w:t xml:space="preserve"> </w:t>
      </w:r>
      <w:r>
        <w:rPr>
          <w:rFonts w:ascii="宋体" w:hAnsi="宋体" w:eastAsia="宋体" w:cs="宋体"/>
          <w:color w:val="auto"/>
          <w:sz w:val="24"/>
          <w:szCs w:val="24"/>
        </w:rPr>
        <w:t>都不可编辑</w:t>
      </w:r>
      <w:r>
        <w:rPr>
          <w:rFonts w:ascii="Arial" w:hAnsi="Arial" w:eastAsia="Arial" w:cs="Arial"/>
          <w:color w:val="auto"/>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4.供应商报价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点击报价按钮进入报价详情界面，请在此轮报价起止时间内报价，否则无法报价。</w:t>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5.供应商澄清报价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供应商澄清报价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auto"/>
        </w:rPr>
      </w:pPr>
      <w:r>
        <w:rPr>
          <w:rFonts w:eastAsia="Arial" w:cs="Arial"/>
          <w:color w:val="auto"/>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6.供应商查看中标通知</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中标项目</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点击查看进入查看中标项目详情</w:t>
      </w:r>
    </w:p>
    <w:p>
      <w:pPr>
        <w:rPr>
          <w:color w:val="auto"/>
        </w:rPr>
      </w:pPr>
      <w:r>
        <w:rPr>
          <w:color w:val="auto"/>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16"/>
        <w:framePr w:wrap="around"/>
        <w:rPr>
          <w:color w:val="auto"/>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OWM0YjY3OWY0MGEyNDM3ZWYyMjNhOTc0MmZhNj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86CF7"/>
    <w:rsid w:val="001C1EE3"/>
    <w:rsid w:val="001C713C"/>
    <w:rsid w:val="001D75B9"/>
    <w:rsid w:val="00200F05"/>
    <w:rsid w:val="00220056"/>
    <w:rsid w:val="002471CE"/>
    <w:rsid w:val="002626ED"/>
    <w:rsid w:val="00265A40"/>
    <w:rsid w:val="00282FDE"/>
    <w:rsid w:val="0029130A"/>
    <w:rsid w:val="003A4540"/>
    <w:rsid w:val="003B4D7D"/>
    <w:rsid w:val="003E0AB3"/>
    <w:rsid w:val="00401C42"/>
    <w:rsid w:val="004076DE"/>
    <w:rsid w:val="00415E0B"/>
    <w:rsid w:val="00460AFB"/>
    <w:rsid w:val="004643B8"/>
    <w:rsid w:val="00470130"/>
    <w:rsid w:val="00483B0A"/>
    <w:rsid w:val="004B12A2"/>
    <w:rsid w:val="004B5126"/>
    <w:rsid w:val="004F7838"/>
    <w:rsid w:val="00503391"/>
    <w:rsid w:val="00552960"/>
    <w:rsid w:val="0056018A"/>
    <w:rsid w:val="00567344"/>
    <w:rsid w:val="005829DC"/>
    <w:rsid w:val="005C0B4E"/>
    <w:rsid w:val="005C421F"/>
    <w:rsid w:val="005F16F0"/>
    <w:rsid w:val="0065185D"/>
    <w:rsid w:val="00657CC9"/>
    <w:rsid w:val="00662385"/>
    <w:rsid w:val="00680629"/>
    <w:rsid w:val="00686C52"/>
    <w:rsid w:val="006F1414"/>
    <w:rsid w:val="007432BF"/>
    <w:rsid w:val="007525BF"/>
    <w:rsid w:val="007800DC"/>
    <w:rsid w:val="007838AA"/>
    <w:rsid w:val="00783D5E"/>
    <w:rsid w:val="00785FD6"/>
    <w:rsid w:val="007B212D"/>
    <w:rsid w:val="00806A61"/>
    <w:rsid w:val="00824BFD"/>
    <w:rsid w:val="00831A05"/>
    <w:rsid w:val="00840D88"/>
    <w:rsid w:val="008453B3"/>
    <w:rsid w:val="008D3B56"/>
    <w:rsid w:val="008D5CEF"/>
    <w:rsid w:val="009360F9"/>
    <w:rsid w:val="00964F00"/>
    <w:rsid w:val="009B511E"/>
    <w:rsid w:val="009D4310"/>
    <w:rsid w:val="009E0F5E"/>
    <w:rsid w:val="00A21EB2"/>
    <w:rsid w:val="00A31561"/>
    <w:rsid w:val="00A54E95"/>
    <w:rsid w:val="00A80564"/>
    <w:rsid w:val="00A960B2"/>
    <w:rsid w:val="00AB075E"/>
    <w:rsid w:val="00AE6633"/>
    <w:rsid w:val="00B01FF1"/>
    <w:rsid w:val="00B72516"/>
    <w:rsid w:val="00B92C97"/>
    <w:rsid w:val="00BA3C70"/>
    <w:rsid w:val="00BB4E42"/>
    <w:rsid w:val="00BC55BF"/>
    <w:rsid w:val="00BE45F6"/>
    <w:rsid w:val="00BF0E19"/>
    <w:rsid w:val="00C01073"/>
    <w:rsid w:val="00C570BC"/>
    <w:rsid w:val="00C855F6"/>
    <w:rsid w:val="00C909F0"/>
    <w:rsid w:val="00C92F53"/>
    <w:rsid w:val="00CD378D"/>
    <w:rsid w:val="00CD5223"/>
    <w:rsid w:val="00CE5010"/>
    <w:rsid w:val="00CE6E17"/>
    <w:rsid w:val="00D0528A"/>
    <w:rsid w:val="00D11B37"/>
    <w:rsid w:val="00D408EF"/>
    <w:rsid w:val="00D5145C"/>
    <w:rsid w:val="00D64DAE"/>
    <w:rsid w:val="00D729A1"/>
    <w:rsid w:val="00D96450"/>
    <w:rsid w:val="00DB5225"/>
    <w:rsid w:val="00DD1E5E"/>
    <w:rsid w:val="00DD4091"/>
    <w:rsid w:val="00DE6417"/>
    <w:rsid w:val="00E05D3A"/>
    <w:rsid w:val="00E16182"/>
    <w:rsid w:val="00E1627A"/>
    <w:rsid w:val="00E34C35"/>
    <w:rsid w:val="00E64AA0"/>
    <w:rsid w:val="00E650A8"/>
    <w:rsid w:val="00E878B4"/>
    <w:rsid w:val="00EB3D00"/>
    <w:rsid w:val="00F71720"/>
    <w:rsid w:val="00FE040F"/>
    <w:rsid w:val="00FE42B3"/>
    <w:rsid w:val="00FE75B0"/>
    <w:rsid w:val="014832F2"/>
    <w:rsid w:val="014D51C1"/>
    <w:rsid w:val="01714809"/>
    <w:rsid w:val="01C52478"/>
    <w:rsid w:val="01CC7CF9"/>
    <w:rsid w:val="027408EE"/>
    <w:rsid w:val="02963F39"/>
    <w:rsid w:val="02B3095A"/>
    <w:rsid w:val="02BA7274"/>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A31682"/>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B610B25"/>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7F1070"/>
    <w:rsid w:val="20AB56C6"/>
    <w:rsid w:val="213B749B"/>
    <w:rsid w:val="21547789"/>
    <w:rsid w:val="21621595"/>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5A4"/>
    <w:rsid w:val="270D66E8"/>
    <w:rsid w:val="27514612"/>
    <w:rsid w:val="278B0DAB"/>
    <w:rsid w:val="278D3850"/>
    <w:rsid w:val="279C6B0E"/>
    <w:rsid w:val="27A64735"/>
    <w:rsid w:val="27CC4DF2"/>
    <w:rsid w:val="280D64D7"/>
    <w:rsid w:val="281864F2"/>
    <w:rsid w:val="286903EF"/>
    <w:rsid w:val="287B0F24"/>
    <w:rsid w:val="287F5DD3"/>
    <w:rsid w:val="288047CB"/>
    <w:rsid w:val="289E62FA"/>
    <w:rsid w:val="28FD6E90"/>
    <w:rsid w:val="291E2CA6"/>
    <w:rsid w:val="29331862"/>
    <w:rsid w:val="29465F48"/>
    <w:rsid w:val="299741EC"/>
    <w:rsid w:val="299E147F"/>
    <w:rsid w:val="29C32A87"/>
    <w:rsid w:val="29CF26DC"/>
    <w:rsid w:val="2A1C5DA0"/>
    <w:rsid w:val="2A200D39"/>
    <w:rsid w:val="2A507EFF"/>
    <w:rsid w:val="2ADC05A4"/>
    <w:rsid w:val="2AE4076A"/>
    <w:rsid w:val="2AEF2177"/>
    <w:rsid w:val="2B133D16"/>
    <w:rsid w:val="2B6F0D7F"/>
    <w:rsid w:val="2B8716BD"/>
    <w:rsid w:val="2B8B76FF"/>
    <w:rsid w:val="2BD5034F"/>
    <w:rsid w:val="2C792F4D"/>
    <w:rsid w:val="2CEA7532"/>
    <w:rsid w:val="2D025012"/>
    <w:rsid w:val="2D4178F0"/>
    <w:rsid w:val="2D5A5EAB"/>
    <w:rsid w:val="2DAE631A"/>
    <w:rsid w:val="2DD877E0"/>
    <w:rsid w:val="2DE616C9"/>
    <w:rsid w:val="2DFC2451"/>
    <w:rsid w:val="2E3422F8"/>
    <w:rsid w:val="2E6E566D"/>
    <w:rsid w:val="2E7F188E"/>
    <w:rsid w:val="2EB87EA5"/>
    <w:rsid w:val="2EBC0905"/>
    <w:rsid w:val="2EC73739"/>
    <w:rsid w:val="2EFB1B0E"/>
    <w:rsid w:val="2F5C684F"/>
    <w:rsid w:val="2F63756E"/>
    <w:rsid w:val="307776D1"/>
    <w:rsid w:val="30862574"/>
    <w:rsid w:val="30B631E1"/>
    <w:rsid w:val="311933AA"/>
    <w:rsid w:val="317D15BB"/>
    <w:rsid w:val="31D07E6C"/>
    <w:rsid w:val="31DB10AC"/>
    <w:rsid w:val="323F65DA"/>
    <w:rsid w:val="32412074"/>
    <w:rsid w:val="32A43435"/>
    <w:rsid w:val="32DE0199"/>
    <w:rsid w:val="32FC5B89"/>
    <w:rsid w:val="333C2963"/>
    <w:rsid w:val="335B2774"/>
    <w:rsid w:val="33A4642E"/>
    <w:rsid w:val="33D4039C"/>
    <w:rsid w:val="33D47E05"/>
    <w:rsid w:val="3413677D"/>
    <w:rsid w:val="342B544B"/>
    <w:rsid w:val="345E036E"/>
    <w:rsid w:val="34C47852"/>
    <w:rsid w:val="34DE1E4F"/>
    <w:rsid w:val="34F07DB1"/>
    <w:rsid w:val="359009FB"/>
    <w:rsid w:val="35983181"/>
    <w:rsid w:val="35D354B8"/>
    <w:rsid w:val="35D4025C"/>
    <w:rsid w:val="362666BC"/>
    <w:rsid w:val="368A6B11"/>
    <w:rsid w:val="37085B1F"/>
    <w:rsid w:val="372E04CB"/>
    <w:rsid w:val="381F7E5B"/>
    <w:rsid w:val="38E070F2"/>
    <w:rsid w:val="390D33AB"/>
    <w:rsid w:val="391E6D06"/>
    <w:rsid w:val="39427F44"/>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314F4"/>
    <w:rsid w:val="3D363C36"/>
    <w:rsid w:val="3D8B2178"/>
    <w:rsid w:val="3DB34909"/>
    <w:rsid w:val="3DD115F5"/>
    <w:rsid w:val="3DE435F0"/>
    <w:rsid w:val="3DE5122C"/>
    <w:rsid w:val="3DF37E53"/>
    <w:rsid w:val="3ED26DE9"/>
    <w:rsid w:val="3EED17D0"/>
    <w:rsid w:val="3F0C0304"/>
    <w:rsid w:val="3F774839"/>
    <w:rsid w:val="3FEC147E"/>
    <w:rsid w:val="40376375"/>
    <w:rsid w:val="409917C7"/>
    <w:rsid w:val="40B913B2"/>
    <w:rsid w:val="412732B7"/>
    <w:rsid w:val="4127791F"/>
    <w:rsid w:val="41281794"/>
    <w:rsid w:val="413C1FDF"/>
    <w:rsid w:val="41806A69"/>
    <w:rsid w:val="41B0259C"/>
    <w:rsid w:val="41BC6F1C"/>
    <w:rsid w:val="41EF2363"/>
    <w:rsid w:val="41F77860"/>
    <w:rsid w:val="424A4B98"/>
    <w:rsid w:val="42581D3A"/>
    <w:rsid w:val="42ED2EA4"/>
    <w:rsid w:val="42F6649D"/>
    <w:rsid w:val="42FE0080"/>
    <w:rsid w:val="4303271A"/>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9FB3558"/>
    <w:rsid w:val="4A0F6D68"/>
    <w:rsid w:val="4A301C93"/>
    <w:rsid w:val="4A3302AB"/>
    <w:rsid w:val="4A572A17"/>
    <w:rsid w:val="4A6F2535"/>
    <w:rsid w:val="4AB35EA4"/>
    <w:rsid w:val="4AC85D49"/>
    <w:rsid w:val="4AE308A9"/>
    <w:rsid w:val="4AE37154"/>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A286C"/>
    <w:rsid w:val="4D4C4DB0"/>
    <w:rsid w:val="4D7322D5"/>
    <w:rsid w:val="4DD7034C"/>
    <w:rsid w:val="4DE312CB"/>
    <w:rsid w:val="4DF5318E"/>
    <w:rsid w:val="4E1F4862"/>
    <w:rsid w:val="4E2E4393"/>
    <w:rsid w:val="4E4F14BF"/>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BB08BC"/>
    <w:rsid w:val="52EF4CB5"/>
    <w:rsid w:val="52F959F0"/>
    <w:rsid w:val="5302488E"/>
    <w:rsid w:val="53136173"/>
    <w:rsid w:val="534B12B7"/>
    <w:rsid w:val="539A4AC7"/>
    <w:rsid w:val="542631B6"/>
    <w:rsid w:val="5447483C"/>
    <w:rsid w:val="54862A07"/>
    <w:rsid w:val="54942CAE"/>
    <w:rsid w:val="54A61722"/>
    <w:rsid w:val="54B31FAF"/>
    <w:rsid w:val="55326D63"/>
    <w:rsid w:val="55451431"/>
    <w:rsid w:val="555D1A10"/>
    <w:rsid w:val="55C300FC"/>
    <w:rsid w:val="56AC4A78"/>
    <w:rsid w:val="56DB16B9"/>
    <w:rsid w:val="577A3463"/>
    <w:rsid w:val="57F967AD"/>
    <w:rsid w:val="58052975"/>
    <w:rsid w:val="584D1A65"/>
    <w:rsid w:val="584F5C44"/>
    <w:rsid w:val="58E525CA"/>
    <w:rsid w:val="58EE7372"/>
    <w:rsid w:val="593D045A"/>
    <w:rsid w:val="5960739E"/>
    <w:rsid w:val="59896D0A"/>
    <w:rsid w:val="59B72684"/>
    <w:rsid w:val="5A0D539B"/>
    <w:rsid w:val="5A9579AE"/>
    <w:rsid w:val="5AC468CD"/>
    <w:rsid w:val="5B342B9A"/>
    <w:rsid w:val="5B5953B0"/>
    <w:rsid w:val="5B630802"/>
    <w:rsid w:val="5B807F68"/>
    <w:rsid w:val="5BA72CE5"/>
    <w:rsid w:val="5C034D53"/>
    <w:rsid w:val="5C0A43A9"/>
    <w:rsid w:val="5C1578F6"/>
    <w:rsid w:val="5D722852"/>
    <w:rsid w:val="5E0559CD"/>
    <w:rsid w:val="5E1D6F56"/>
    <w:rsid w:val="5E20787C"/>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6C2C8F"/>
    <w:rsid w:val="607777D6"/>
    <w:rsid w:val="60BC76A1"/>
    <w:rsid w:val="610B7637"/>
    <w:rsid w:val="612279BA"/>
    <w:rsid w:val="615F5624"/>
    <w:rsid w:val="61B91A88"/>
    <w:rsid w:val="61D215CF"/>
    <w:rsid w:val="625C563D"/>
    <w:rsid w:val="626A1704"/>
    <w:rsid w:val="627921C2"/>
    <w:rsid w:val="62B362C8"/>
    <w:rsid w:val="62C1330E"/>
    <w:rsid w:val="6342085E"/>
    <w:rsid w:val="636F415C"/>
    <w:rsid w:val="64917820"/>
    <w:rsid w:val="64AA1CC5"/>
    <w:rsid w:val="6528341F"/>
    <w:rsid w:val="656B2909"/>
    <w:rsid w:val="65802BF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4A11E7D"/>
    <w:rsid w:val="74B5058A"/>
    <w:rsid w:val="75590B0A"/>
    <w:rsid w:val="7582279F"/>
    <w:rsid w:val="75843EB5"/>
    <w:rsid w:val="75BB71AF"/>
    <w:rsid w:val="75D93C65"/>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876B53"/>
    <w:rsid w:val="799C3465"/>
    <w:rsid w:val="79B14EC4"/>
    <w:rsid w:val="7A2A6B4A"/>
    <w:rsid w:val="7A681070"/>
    <w:rsid w:val="7A860C7C"/>
    <w:rsid w:val="7AB879FE"/>
    <w:rsid w:val="7B3264DD"/>
    <w:rsid w:val="7B81188A"/>
    <w:rsid w:val="7B9E2902"/>
    <w:rsid w:val="7BA61FF2"/>
    <w:rsid w:val="7BC854E2"/>
    <w:rsid w:val="7C0562EC"/>
    <w:rsid w:val="7C067A45"/>
    <w:rsid w:val="7C27683F"/>
    <w:rsid w:val="7CB14B4D"/>
    <w:rsid w:val="7CF26969"/>
    <w:rsid w:val="7D25523C"/>
    <w:rsid w:val="7D6F3276"/>
    <w:rsid w:val="7DB23041"/>
    <w:rsid w:val="7E253FEC"/>
    <w:rsid w:val="7E5F7809"/>
    <w:rsid w:val="7ED56C53"/>
    <w:rsid w:val="7EEA1BAF"/>
    <w:rsid w:val="7F5460D4"/>
    <w:rsid w:val="7F552892"/>
    <w:rsid w:val="7FD05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next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pPr>
      <w:framePr w:hSpace="180" w:wrap="around" w:vAnchor="text" w:hAnchor="text" w:xAlign="center" w:y="1"/>
      <w:suppressOverlap/>
      <w:ind w:firstLine="480" w:firstLineChars="200"/>
    </w:pPr>
    <w:rPr>
      <w:rFonts w:ascii="宋体" w:hAnsi="宋体" w:eastAsia="宋体" w:cs="宋体"/>
      <w:bCs/>
      <w:snapToGrid w:val="0"/>
      <w:color w:val="FF0000"/>
      <w:kern w:val="0"/>
      <w:sz w:val="24"/>
      <w:szCs w:val="24"/>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autoRedefine/>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Char"/>
    <w:basedOn w:val="37"/>
    <w:link w:val="2"/>
    <w:qFormat/>
    <w:uiPriority w:val="9"/>
    <w:rPr>
      <w:rFonts w:ascii="Calibri" w:hAnsi="Calibri" w:eastAsia="宋体" w:cs="Times New Roman"/>
      <w:b/>
      <w:bCs/>
      <w:kern w:val="44"/>
      <w:sz w:val="36"/>
      <w:szCs w:val="44"/>
    </w:rPr>
  </w:style>
  <w:style w:type="character" w:customStyle="1" w:styleId="46">
    <w:name w:val="标题 2 Char"/>
    <w:basedOn w:val="37"/>
    <w:link w:val="3"/>
    <w:qFormat/>
    <w:uiPriority w:val="9"/>
    <w:rPr>
      <w:rFonts w:ascii="Arial" w:hAnsi="Arial" w:eastAsia="宋体" w:cs="Times New Roman"/>
      <w:b/>
      <w:bCs/>
      <w:sz w:val="24"/>
      <w:szCs w:val="32"/>
    </w:rPr>
  </w:style>
  <w:style w:type="character" w:customStyle="1" w:styleId="47">
    <w:name w:val="标题 3 Char"/>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Char"/>
    <w:link w:val="19"/>
    <w:qFormat/>
    <w:locked/>
    <w:uiPriority w:val="0"/>
  </w:style>
  <w:style w:type="character" w:customStyle="1" w:styleId="50">
    <w:name w:val="批注主题 Char1"/>
    <w:link w:val="33"/>
    <w:qFormat/>
    <w:locked/>
    <w:uiPriority w:val="0"/>
    <w:rPr>
      <w:b/>
    </w:rPr>
  </w:style>
  <w:style w:type="character" w:customStyle="1" w:styleId="51">
    <w:name w:val="正文文本缩进 3 Char"/>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Char"/>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Char1"/>
    <w:link w:val="10"/>
    <w:qFormat/>
    <w:locked/>
    <w:uiPriority w:val="0"/>
  </w:style>
  <w:style w:type="character" w:customStyle="1" w:styleId="60">
    <w:name w:val="标题 Char"/>
    <w:link w:val="32"/>
    <w:qFormat/>
    <w:locked/>
    <w:uiPriority w:val="0"/>
    <w:rPr>
      <w:rFonts w:ascii="Arial" w:hAnsi="Arial"/>
      <w:b/>
      <w:sz w:val="32"/>
    </w:rPr>
  </w:style>
  <w:style w:type="character" w:customStyle="1" w:styleId="61">
    <w:name w:val="日期 Char"/>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Char"/>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Char"/>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Char1"/>
    <w:link w:val="16"/>
    <w:qFormat/>
    <w:locked/>
    <w:uiPriority w:val="0"/>
    <w:rPr>
      <w:rFonts w:ascii="宋体" w:hAnsi="宋体" w:cs="宋体"/>
      <w:bCs/>
      <w:snapToGrid w:val="0"/>
      <w:color w:val="FF0000"/>
      <w:sz w:val="24"/>
      <w:szCs w:val="24"/>
    </w:rPr>
  </w:style>
  <w:style w:type="character" w:customStyle="1" w:styleId="71">
    <w:name w:val="页脚 Char1"/>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Char"/>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Char"/>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framePr w:wrap="around"/>
      <w:spacing w:line="360" w:lineRule="auto"/>
      <w:ind w:firstLine="200"/>
    </w:pPr>
    <w:rPr>
      <w:color w:val="000000"/>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framePr w:wrap="around"/>
      <w:ind w:firstLine="480"/>
    </w:pPr>
    <w:rPr>
      <w:rFonts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Fließtext"/>
    <w:basedOn w:val="1"/>
    <w:qFormat/>
    <w:uiPriority w:val="99"/>
    <w:pPr>
      <w:widowControl/>
      <w:ind w:left="1134"/>
      <w:jc w:val="left"/>
    </w:pPr>
    <w:rPr>
      <w:rFonts w:ascii="Arial" w:hAnsi="Arial"/>
      <w:kern w:val="0"/>
      <w:szCs w:val="20"/>
      <w:lang w:val="de-DE" w:eastAsia="de-DE"/>
    </w:rPr>
  </w:style>
  <w:style w:type="table" w:customStyle="1" w:styleId="136">
    <w:name w:val="网格型2"/>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7">
    <w:name w:val="font11"/>
    <w:basedOn w:val="37"/>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75</Pages>
  <Words>2373</Words>
  <Characters>2565</Characters>
  <Lines>277</Lines>
  <Paragraphs>78</Paragraphs>
  <TotalTime>21</TotalTime>
  <ScaleCrop>false</ScaleCrop>
  <LinksUpToDate>false</LinksUpToDate>
  <CharactersWithSpaces>2726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李苗</cp:lastModifiedBy>
  <cp:lastPrinted>2022-07-01T03:19:00Z</cp:lastPrinted>
  <dcterms:modified xsi:type="dcterms:W3CDTF">2025-06-19T06:01:35Z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52318A6CE81343FCB2AE0503DE44D36B_13</vt:lpwstr>
  </property>
  <property fmtid="{D5CDD505-2E9C-101B-9397-08002B2CF9AE}" pid="4" name="KSOTemplateDocerSaveRecord">
    <vt:lpwstr>eyJoZGlkIjoiN2YwOWM0YjY3OWY0MGEyNDM3ZWYyMjNhOTc0MmZhNjEiLCJ1c2VySWQiOiI0MjY5MDg1OTUifQ==</vt:lpwstr>
  </property>
</Properties>
</file>