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中国重汽集团济南卡车（党家庄）</w:t>
      </w:r>
    </w:p>
    <w:p>
      <w:pPr>
        <w:spacing w:line="276" w:lineRule="auto"/>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rPr>
        <w:t>车架电泳新增废气处理设备项目</w:t>
      </w:r>
      <w:r>
        <w:rPr>
          <w:rFonts w:hint="eastAsia" w:ascii="Calibri" w:hAnsi="Calibri" w:eastAsia="宋体" w:cs="Times New Roman"/>
          <w:color w:val="000000"/>
          <w:sz w:val="28"/>
          <w:szCs w:val="28"/>
          <w:lang w:val="en-US" w:eastAsia="zh-CN"/>
        </w:rPr>
        <w:t xml:space="preserve">                                    </w:t>
      </w:r>
    </w:p>
    <w:p>
      <w:pPr>
        <w:pStyle w:val="19"/>
        <w:rPr>
          <w:rFonts w:hint="eastAsia"/>
          <w:lang w:eastAsia="zh-CN"/>
        </w:rPr>
      </w:pPr>
    </w:p>
    <w:p>
      <w:pPr>
        <w:pStyle w:val="19"/>
        <w:rPr>
          <w:rFonts w:hint="eastAsia"/>
          <w:lang w:eastAsia="zh-CN"/>
        </w:rPr>
      </w:pPr>
    </w:p>
    <w:p>
      <w:pPr>
        <w:pStyle w:val="19"/>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9"/>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6"/>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6"/>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6"/>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6"/>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6"/>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6"/>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9"/>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9"/>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9"/>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1"/>
                <w:rFonts w:ascii="宋体" w:hAnsi="宋体" w:eastAsia="宋体" w:cs="宋体"/>
                <w:b/>
                <w:sz w:val="28"/>
                <w:szCs w:val="28"/>
              </w:rPr>
            </w:pPr>
            <w:bookmarkStart w:id="3" w:name="_Toc346372875"/>
            <w:r>
              <w:rPr>
                <w:rStyle w:val="13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1"/>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bookmarkStart w:id="4" w:name="OLE_LINK2"/>
            <w:r>
              <w:rPr>
                <w:rFonts w:hint="eastAsia" w:ascii="宋体" w:hAnsi="宋体" w:eastAsia="宋体" w:cs="宋体"/>
                <w:sz w:val="24"/>
                <w:szCs w:val="24"/>
                <w:highlight w:val="none"/>
                <w:u w:val="single"/>
                <w:lang w:val="en-US" w:eastAsia="zh-CN"/>
              </w:rPr>
              <w:t>济南卡车（党家庄）车架电泳新增废气处理设备项目</w:t>
            </w:r>
            <w:bookmarkEnd w:id="4"/>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 xml:space="preserve"> CGZX2025040114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TNV燃烧炉1套，风机及其他附件、辅料1套。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李月兵</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17860602093</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6"/>
                <w:rFonts w:hint="eastAsia" w:ascii="宋体" w:hAnsi="宋体" w:eastAsia="宋体" w:cs="宋体"/>
                <w:bCs/>
                <w:snapToGrid w:val="0"/>
                <w:color w:val="auto"/>
                <w:kern w:val="0"/>
                <w:sz w:val="24"/>
                <w:szCs w:val="24"/>
              </w:rPr>
              <w:t>liyuebing@sinotruk.com</w:t>
            </w:r>
            <w:r>
              <w:rPr>
                <w:rStyle w:val="46"/>
                <w:rFonts w:hint="eastAsia" w:ascii="宋体" w:hAnsi="宋体" w:eastAsia="宋体" w:cs="宋体"/>
                <w:bCs/>
                <w:snapToGrid w:val="0"/>
                <w:color w:val="auto"/>
                <w:kern w:val="0"/>
                <w:sz w:val="24"/>
                <w:szCs w:val="24"/>
              </w:rP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9"/>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87</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投标人必须是在中华人民共和国境内注册的独立法人机构，具有独立承担民事责任能力；注册资金不少于300万人民币（或等值其他货币）；公司成立三年以上（以营业执照成立日期到开标当日满三年为准），且经营范围满足招标人需求；并在人员、设备、资金等方面具有承担本项目的能力；</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4.在“国家企业信用信息公示系统”“中国执行信息公开网”“信用中国”“天眼查”“裁判文书网”等信息平台中，无行政处罚及失信记录等信息；</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6.拟投标人应提供2021年1月1日至今经会计师事务所审计且出具无保留意见的财务审计报告，并加盖公章，包括但不限于资产负债表、利润表、现金流量表，且未显示异常；</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11.拟投标人信用证明材料（征信中心出具的信用报告）未显示异常；</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13.投标单位需为设备制造单位;</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15.无招标违规、谎报年度报告信息、提供虚假资质资料等行为或其他行政处罚记录;</w:t>
            </w:r>
          </w:p>
          <w:p>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p>
          <w:p>
            <w:pPr>
              <w:pStyle w:val="19"/>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24</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9</w:t>
            </w:r>
            <w:r>
              <w:rPr>
                <w:rFonts w:hint="eastAsia" w:eastAsia="宋体" w:cs="宋体"/>
                <w:highlight w:val="yellow"/>
              </w:rPr>
              <w:t>日</w:t>
            </w:r>
            <w:r>
              <w:rPr>
                <w:rFonts w:hint="eastAsia" w:eastAsia="宋体" w:cs="宋体"/>
                <w:highlight w:val="yellow"/>
                <w:lang w:val="en-US" w:eastAsia="zh-CN"/>
              </w:rPr>
              <w:t>12时00分00秒</w:t>
            </w:r>
          </w:p>
          <w:p>
            <w:pPr>
              <w:pStyle w:val="114"/>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9"/>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9"/>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9"/>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rPr>
              <w:t>李月兵</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rPr>
              <w:t>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9"/>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9"/>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pPr>
              <w:pStyle w:val="19"/>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pPr>
              <w:pStyle w:val="19"/>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3.接续30个日历日之内完成终验收。</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9"/>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济南卡车制造公司党家庄车架二部装配现场分部</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7"/>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hint="default" w:ascii="宋体" w:hAnsi="宋体" w:cs="宋体" w:eastAsiaTheme="minorEastAsia"/>
                <w:bCs/>
                <w:sz w:val="24"/>
                <w:szCs w:val="24"/>
                <w:lang w:val="en-US" w:eastAsia="zh-CN"/>
              </w:rPr>
            </w:pPr>
            <w:r>
              <w:rPr>
                <w:rFonts w:hint="eastAsia" w:ascii="宋体" w:hAnsi="宋体" w:eastAsia="宋体" w:cs="宋体"/>
                <w:color w:val="000000"/>
                <w:sz w:val="24"/>
                <w:szCs w:val="24"/>
                <w:highlight w:val="cyan"/>
                <w:lang w:val="en-US" w:eastAsia="zh-CN"/>
              </w:rPr>
              <w:t>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4"/>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4"/>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4"/>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4"/>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9"/>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9"/>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9"/>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9"/>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9"/>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4"/>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4"/>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85487"/>
      <w:bookmarkStart w:id="8" w:name="_Toc33266627"/>
      <w:bookmarkStart w:id="9" w:name="_Toc33265653"/>
      <w:bookmarkStart w:id="10" w:name="_Toc33266950"/>
      <w:bookmarkStart w:id="11" w:name="_Toc33265752"/>
      <w:bookmarkStart w:id="12" w:name="_Toc33267001"/>
      <w:bookmarkStart w:id="13" w:name="_Toc33266914"/>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5" w:name="_Toc33267002"/>
      <w:bookmarkStart w:id="16" w:name="_Toc33285489"/>
      <w:bookmarkStart w:id="17" w:name="_Toc33265654"/>
      <w:bookmarkStart w:id="18" w:name="_Toc33266915"/>
      <w:bookmarkStart w:id="19" w:name="_Toc33266951"/>
      <w:bookmarkStart w:id="20" w:name="_Toc33265753"/>
      <w:bookmarkStart w:id="21" w:name="_Toc395116634"/>
      <w:bookmarkStart w:id="22" w:name="_Toc33266628"/>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9"/>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9"/>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9"/>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9"/>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6"/>
      <w:bookmarkStart w:id="24" w:name="OLE_LINK27"/>
      <w:bookmarkStart w:id="25" w:name="OLE_LINK29"/>
      <w:bookmarkStart w:id="26" w:name="OLE_LINK28"/>
      <w:bookmarkStart w:id="27" w:name="OLE_LINK25"/>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9"/>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9"/>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9"/>
        <w:numPr>
          <w:ilvl w:val="-1"/>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-1至9-3</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9"/>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9"/>
      </w:pP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中国重汽集团济南卡车（党家庄）</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车架电泳新增废气处理设备项目</w:t>
      </w:r>
    </w:p>
    <w:p>
      <w:pPr>
        <w:jc w:val="right"/>
        <w:rPr>
          <w:rFonts w:ascii="Calibri" w:hAnsi="Calibri" w:eastAsia="宋体" w:cs="Times New Roman"/>
          <w:color w:val="000000"/>
          <w:sz w:val="28"/>
          <w:szCs w:val="28"/>
        </w:rPr>
      </w:pPr>
    </w:p>
    <w:p>
      <w:pPr>
        <w:pStyle w:val="19"/>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9"/>
      </w:pPr>
    </w:p>
    <w:p>
      <w:pPr>
        <w:pStyle w:val="19"/>
        <w:rPr>
          <w:rFonts w:ascii="黑体" w:hAnsi="宋体" w:eastAsia="黑体" w:cs="Times New Roman"/>
          <w:color w:val="000000"/>
          <w:sz w:val="72"/>
          <w:szCs w:val="72"/>
        </w:rPr>
      </w:pPr>
    </w:p>
    <w:p>
      <w:pPr>
        <w:pStyle w:val="19"/>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9"/>
        <w:rPr>
          <w:b/>
          <w:bCs/>
        </w:rPr>
      </w:pPr>
    </w:p>
    <w:p>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pPr>
        <w:pStyle w:val="15"/>
      </w:pP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5"/>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pPr>
        <w:pStyle w:val="3"/>
        <w:ind w:left="431" w:hanging="431"/>
        <w:rPr>
          <w:rFonts w:ascii="宋体" w:hAnsi="宋体" w:cs="宋体"/>
          <w:i w:val="0"/>
          <w:iCs w:val="0"/>
        </w:rPr>
      </w:pPr>
      <w:bookmarkStart w:id="33" w:name="_Toc12511"/>
      <w:r>
        <w:rPr>
          <w:rFonts w:hint="eastAsia" w:ascii="宋体" w:hAnsi="宋体" w:cs="宋体"/>
          <w:i w:val="0"/>
          <w:iCs w:val="0"/>
        </w:rPr>
        <w:t>第一章 项目要求</w:t>
      </w:r>
      <w:bookmarkEnd w:id="33"/>
    </w:p>
    <w:p>
      <w:pPr>
        <w:pStyle w:val="5"/>
        <w:numPr>
          <w:ilvl w:val="0"/>
          <w:numId w:val="10"/>
        </w:numPr>
        <w:snapToGrid w:val="0"/>
        <w:rPr>
          <w:rFonts w:ascii="宋体" w:hAnsi="宋体" w:cs="宋体"/>
          <w:szCs w:val="24"/>
        </w:rPr>
      </w:pPr>
      <w:bookmarkStart w:id="34" w:name="_Toc30332"/>
      <w:r>
        <w:rPr>
          <w:rFonts w:hint="eastAsia" w:ascii="宋体" w:hAnsi="宋体" w:cs="宋体"/>
          <w:szCs w:val="24"/>
        </w:rPr>
        <w:t>项目概况</w:t>
      </w:r>
      <w:bookmarkEnd w:id="34"/>
    </w:p>
    <w:p>
      <w:pPr>
        <w:pStyle w:val="128"/>
        <w:numPr>
          <w:ilvl w:val="1"/>
          <w:numId w:val="11"/>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项目名称：济南卡车制造公司党家庄车架电泳新增废气处理设备项目</w:t>
      </w:r>
    </w:p>
    <w:p>
      <w:pPr>
        <w:snapToGrid w:val="0"/>
        <w:spacing w:line="360" w:lineRule="auto"/>
        <w:rPr>
          <w:rFonts w:ascii="宋体" w:hAnsi="宋体" w:eastAsia="宋体" w:cs="宋体"/>
          <w:sz w:val="24"/>
          <w:szCs w:val="24"/>
        </w:rPr>
      </w:pPr>
      <w:r>
        <w:rPr>
          <w:rFonts w:ascii="宋体" w:hAnsi="宋体" w:eastAsia="宋体" w:cs="宋体"/>
          <w:sz w:val="24"/>
          <w:szCs w:val="24"/>
        </w:rPr>
        <w:t>1.2</w:t>
      </w:r>
      <w:r>
        <w:rPr>
          <w:rFonts w:hint="eastAsia" w:ascii="宋体" w:hAnsi="宋体" w:eastAsia="宋体" w:cs="宋体"/>
          <w:sz w:val="24"/>
          <w:szCs w:val="24"/>
        </w:rPr>
        <w:t>建设地点：济南卡车制造公司</w:t>
      </w:r>
      <w:r>
        <w:rPr>
          <w:rFonts w:ascii="宋体" w:hAnsi="宋体" w:eastAsia="宋体" w:cs="宋体"/>
          <w:sz w:val="24"/>
          <w:szCs w:val="24"/>
        </w:rPr>
        <w:t>车架二部装配现场分部。</w:t>
      </w:r>
    </w:p>
    <w:p>
      <w:pPr>
        <w:snapToGrid w:val="0"/>
        <w:spacing w:line="360" w:lineRule="auto"/>
        <w:rPr>
          <w:rFonts w:ascii="宋体" w:hAnsi="宋体" w:eastAsia="宋体" w:cs="宋体"/>
          <w:sz w:val="24"/>
          <w:szCs w:val="24"/>
        </w:rPr>
      </w:pPr>
      <w:r>
        <w:rPr>
          <w:rFonts w:hint="eastAsia" w:ascii="宋体" w:hAnsi="宋体" w:eastAsia="宋体" w:cs="宋体"/>
          <w:sz w:val="24"/>
          <w:szCs w:val="24"/>
        </w:rPr>
        <w:t>1.3工作制度：300工作日/年，两班</w:t>
      </w:r>
      <w:r>
        <w:rPr>
          <w:rFonts w:ascii="宋体" w:hAnsi="宋体" w:eastAsia="宋体" w:cs="宋体"/>
          <w:sz w:val="24"/>
          <w:szCs w:val="24"/>
        </w:rPr>
        <w:t>16</w:t>
      </w:r>
      <w:r>
        <w:rPr>
          <w:rFonts w:hint="eastAsia" w:ascii="宋体" w:hAnsi="宋体" w:eastAsia="宋体" w:cs="宋体"/>
          <w:sz w:val="24"/>
          <w:szCs w:val="24"/>
        </w:rPr>
        <w:t>小时/工作日</w:t>
      </w:r>
    </w:p>
    <w:p>
      <w:pPr>
        <w:snapToGrid w:val="0"/>
        <w:spacing w:line="360" w:lineRule="auto"/>
        <w:rPr>
          <w:rFonts w:ascii="宋体" w:hAnsi="宋体" w:eastAsia="宋体" w:cs="宋体"/>
          <w:sz w:val="24"/>
          <w:szCs w:val="24"/>
        </w:rPr>
      </w:pPr>
      <w:r>
        <w:rPr>
          <w:rFonts w:ascii="宋体" w:hAnsi="宋体" w:eastAsia="宋体" w:cs="宋体"/>
          <w:sz w:val="24"/>
          <w:szCs w:val="24"/>
        </w:rPr>
        <w:t>1.4</w:t>
      </w:r>
      <w:r>
        <w:rPr>
          <w:rFonts w:hint="eastAsia" w:ascii="宋体" w:hAnsi="宋体" w:eastAsia="宋体" w:cs="宋体"/>
          <w:sz w:val="24"/>
          <w:szCs w:val="24"/>
        </w:rPr>
        <w:t>年时基数：设备年时基数</w:t>
      </w:r>
      <w:r>
        <w:rPr>
          <w:rFonts w:ascii="宋体" w:hAnsi="宋体" w:eastAsia="宋体" w:cs="宋体"/>
          <w:sz w:val="24"/>
          <w:szCs w:val="24"/>
        </w:rPr>
        <w:t>48</w:t>
      </w:r>
      <w:r>
        <w:rPr>
          <w:rFonts w:hint="eastAsia" w:ascii="宋体" w:hAnsi="宋体" w:eastAsia="宋体" w:cs="宋体"/>
          <w:sz w:val="24"/>
          <w:szCs w:val="24"/>
        </w:rPr>
        <w:t>00小时</w:t>
      </w:r>
    </w:p>
    <w:p>
      <w:pPr>
        <w:snapToGrid w:val="0"/>
        <w:spacing w:line="360" w:lineRule="auto"/>
        <w:rPr>
          <w:rFonts w:ascii="宋体" w:hAnsi="宋体" w:eastAsia="宋体" w:cs="宋体"/>
          <w:sz w:val="24"/>
          <w:szCs w:val="24"/>
        </w:rPr>
      </w:pPr>
      <w:r>
        <w:rPr>
          <w:rFonts w:ascii="宋体" w:hAnsi="宋体" w:eastAsia="宋体" w:cs="宋体"/>
          <w:sz w:val="24"/>
          <w:szCs w:val="24"/>
        </w:rPr>
        <w:t>1.5</w:t>
      </w:r>
      <w:r>
        <w:rPr>
          <w:rFonts w:hint="eastAsia" w:ascii="宋体" w:hAnsi="宋体" w:eastAsia="宋体" w:cs="宋体"/>
          <w:sz w:val="24"/>
          <w:szCs w:val="24"/>
        </w:rPr>
        <w:t>货物需求一览表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18"/>
        <w:gridCol w:w="816"/>
        <w:gridCol w:w="816"/>
        <w:gridCol w:w="816"/>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2618" w:type="dxa"/>
            <w:vAlign w:val="center"/>
          </w:tcPr>
          <w:p>
            <w:pPr>
              <w:jc w:val="center"/>
              <w:rPr>
                <w:rFonts w:ascii="宋体" w:hAnsi="宋体" w:eastAsia="宋体" w:cs="宋体"/>
                <w:sz w:val="24"/>
                <w:szCs w:val="24"/>
              </w:rPr>
            </w:pPr>
            <w:r>
              <w:rPr>
                <w:rFonts w:hint="eastAsia" w:ascii="宋体" w:hAnsi="宋体" w:eastAsia="宋体" w:cs="宋体"/>
                <w:sz w:val="24"/>
                <w:szCs w:val="24"/>
              </w:rPr>
              <w:t>名称</w:t>
            </w:r>
          </w:p>
        </w:tc>
        <w:tc>
          <w:tcPr>
            <w:tcW w:w="816" w:type="dxa"/>
            <w:vAlign w:val="center"/>
          </w:tcPr>
          <w:p>
            <w:pPr>
              <w:jc w:val="center"/>
              <w:rPr>
                <w:rFonts w:ascii="宋体" w:hAnsi="宋体" w:eastAsia="宋体" w:cs="宋体"/>
                <w:sz w:val="24"/>
                <w:szCs w:val="24"/>
              </w:rPr>
            </w:pPr>
            <w:r>
              <w:rPr>
                <w:rFonts w:hint="eastAsia" w:ascii="宋体" w:hAnsi="宋体" w:eastAsia="宋体" w:cs="宋体"/>
                <w:sz w:val="24"/>
                <w:szCs w:val="24"/>
              </w:rPr>
              <w:t>规格</w:t>
            </w:r>
          </w:p>
        </w:tc>
        <w:tc>
          <w:tcPr>
            <w:tcW w:w="816" w:type="dxa"/>
            <w:vAlign w:val="center"/>
          </w:tcPr>
          <w:p>
            <w:pPr>
              <w:jc w:val="center"/>
              <w:rPr>
                <w:rFonts w:ascii="宋体" w:hAnsi="宋体" w:eastAsia="宋体" w:cs="宋体"/>
                <w:sz w:val="24"/>
                <w:szCs w:val="24"/>
              </w:rPr>
            </w:pPr>
            <w:r>
              <w:rPr>
                <w:rFonts w:hint="eastAsia" w:ascii="宋体" w:hAnsi="宋体" w:eastAsia="宋体" w:cs="宋体"/>
                <w:sz w:val="24"/>
                <w:szCs w:val="24"/>
              </w:rPr>
              <w:t>单位</w:t>
            </w:r>
          </w:p>
        </w:tc>
        <w:tc>
          <w:tcPr>
            <w:tcW w:w="816" w:type="dxa"/>
            <w:vAlign w:val="center"/>
          </w:tcPr>
          <w:p>
            <w:pPr>
              <w:jc w:val="center"/>
              <w:rPr>
                <w:rFonts w:ascii="宋体" w:hAnsi="宋体" w:eastAsia="宋体" w:cs="宋体"/>
                <w:sz w:val="24"/>
                <w:szCs w:val="24"/>
              </w:rPr>
            </w:pPr>
            <w:r>
              <w:rPr>
                <w:rFonts w:hint="eastAsia" w:ascii="宋体" w:hAnsi="宋体" w:eastAsia="宋体" w:cs="宋体"/>
                <w:sz w:val="24"/>
                <w:szCs w:val="24"/>
              </w:rPr>
              <w:t>数量</w:t>
            </w:r>
          </w:p>
        </w:tc>
        <w:tc>
          <w:tcPr>
            <w:tcW w:w="2813" w:type="dxa"/>
            <w:vAlign w:val="center"/>
          </w:tcPr>
          <w:p>
            <w:pPr>
              <w:jc w:val="center"/>
              <w:rPr>
                <w:rFonts w:ascii="宋体" w:hAnsi="宋体" w:eastAsia="宋体" w:cs="宋体"/>
                <w:sz w:val="24"/>
                <w:szCs w:val="24"/>
              </w:rPr>
            </w:pPr>
            <w:r>
              <w:rPr>
                <w:rFonts w:hint="eastAsia" w:ascii="宋体" w:hAnsi="宋体" w:eastAsia="宋体" w:cs="宋体"/>
                <w:sz w:val="24"/>
                <w:szCs w:val="24"/>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2618" w:type="dxa"/>
            <w:vAlign w:val="center"/>
          </w:tcPr>
          <w:p>
            <w:pPr>
              <w:jc w:val="center"/>
              <w:rPr>
                <w:rFonts w:ascii="宋体" w:hAnsi="宋体" w:cs="宋体"/>
                <w:sz w:val="24"/>
                <w:szCs w:val="24"/>
              </w:rPr>
            </w:pPr>
            <w:r>
              <w:rPr>
                <w:rFonts w:hint="eastAsia" w:ascii="宋体" w:hAnsi="宋体" w:eastAsia="宋体" w:cs="宋体"/>
                <w:sz w:val="24"/>
                <w:szCs w:val="24"/>
              </w:rPr>
              <w:t>车架电泳废气处理设备</w:t>
            </w:r>
          </w:p>
        </w:tc>
        <w:tc>
          <w:tcPr>
            <w:tcW w:w="816"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816"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816" w:type="dxa"/>
            <w:vAlign w:val="center"/>
          </w:tcPr>
          <w:p>
            <w:pPr>
              <w:jc w:val="center"/>
              <w:rPr>
                <w:rFonts w:ascii="宋体" w:hAnsi="宋体" w:eastAsia="宋体" w:cs="宋体"/>
                <w:sz w:val="24"/>
                <w:szCs w:val="24"/>
              </w:rPr>
            </w:pPr>
            <w:r>
              <w:rPr>
                <w:rFonts w:ascii="宋体" w:hAnsi="宋体" w:eastAsia="宋体" w:cs="宋体"/>
                <w:sz w:val="24"/>
                <w:szCs w:val="24"/>
              </w:rPr>
              <w:t>1</w:t>
            </w:r>
          </w:p>
        </w:tc>
        <w:tc>
          <w:tcPr>
            <w:tcW w:w="2813" w:type="dxa"/>
            <w:vAlign w:val="center"/>
          </w:tcPr>
          <w:p>
            <w:pPr>
              <w:jc w:val="center"/>
              <w:rPr>
                <w:rFonts w:ascii="宋体" w:hAnsi="宋体" w:eastAsia="宋体" w:cs="宋体"/>
                <w:sz w:val="24"/>
                <w:szCs w:val="24"/>
              </w:rPr>
            </w:pPr>
            <w:r>
              <w:rPr>
                <w:rFonts w:hint="eastAsia" w:ascii="宋体" w:hAnsi="宋体" w:eastAsia="宋体" w:cs="宋体"/>
                <w:sz w:val="24"/>
                <w:szCs w:val="24"/>
              </w:rPr>
              <w:t>济南卡车制造公司党家庄</w:t>
            </w:r>
            <w:r>
              <w:rPr>
                <w:rFonts w:ascii="宋体" w:hAnsi="宋体" w:eastAsia="宋体" w:cs="宋体"/>
                <w:sz w:val="24"/>
                <w:szCs w:val="24"/>
              </w:rPr>
              <w:t>车架二部装配现场分部</w:t>
            </w:r>
          </w:p>
        </w:tc>
      </w:tr>
    </w:tbl>
    <w:p>
      <w:pPr>
        <w:snapToGrid w:val="0"/>
        <w:spacing w:line="360" w:lineRule="auto"/>
        <w:rPr>
          <w:rFonts w:ascii="宋体" w:hAnsi="宋体" w:eastAsia="宋体" w:cs="宋体"/>
          <w:sz w:val="24"/>
          <w:szCs w:val="24"/>
        </w:rPr>
      </w:pPr>
      <w:r>
        <w:rPr>
          <w:rFonts w:hint="eastAsia" w:ascii="宋体" w:hAnsi="宋体" w:eastAsia="宋体" w:cs="宋体"/>
          <w:sz w:val="24"/>
          <w:szCs w:val="24"/>
        </w:rPr>
        <w:t>备注：</w:t>
      </w:r>
    </w:p>
    <w:p>
      <w:pPr>
        <w:snapToGrid w:val="0"/>
        <w:spacing w:line="360" w:lineRule="auto"/>
        <w:rPr>
          <w:rFonts w:ascii="宋体" w:hAnsi="宋体" w:eastAsia="宋体" w:cs="宋体"/>
          <w:sz w:val="24"/>
          <w:szCs w:val="24"/>
        </w:rPr>
      </w:pPr>
      <w:r>
        <w:rPr>
          <w:rFonts w:hint="eastAsia" w:ascii="宋体" w:hAnsi="宋体" w:eastAsia="宋体" w:cs="宋体"/>
          <w:sz w:val="24"/>
          <w:szCs w:val="24"/>
        </w:rPr>
        <w:t>（1）本表所列采购设备仅为设备及相关配套设施供货明细，应配套供货以及招标方所列其它货物（或设备）和服务，请投标方认真阅读“供货范围”。若有异议，不管是多么微小，都应在投标文件“商务偏离”章节中予以详细说明。</w:t>
      </w:r>
    </w:p>
    <w:p>
      <w:pPr>
        <w:snapToGrid w:val="0"/>
        <w:spacing w:line="360" w:lineRule="auto"/>
        <w:rPr>
          <w:rFonts w:ascii="宋体" w:hAnsi="宋体" w:eastAsia="宋体" w:cs="宋体"/>
          <w:sz w:val="24"/>
          <w:szCs w:val="24"/>
        </w:rPr>
      </w:pPr>
      <w:r>
        <w:rPr>
          <w:rFonts w:hint="eastAsia" w:ascii="宋体" w:hAnsi="宋体" w:eastAsia="宋体" w:cs="宋体"/>
          <w:sz w:val="24"/>
          <w:szCs w:val="24"/>
        </w:rPr>
        <w:t>（2）本表“供货方式”指：交钥匙方式——包括制造、运输、定点卸货、安装、调试和协助验收以及约定培训等。</w:t>
      </w:r>
    </w:p>
    <w:p>
      <w:pPr>
        <w:snapToGrid w:val="0"/>
        <w:spacing w:line="360" w:lineRule="auto"/>
        <w:rPr>
          <w:rFonts w:ascii="宋体" w:hAnsi="宋体" w:eastAsia="宋体" w:cs="宋体"/>
          <w:sz w:val="24"/>
          <w:szCs w:val="24"/>
        </w:rPr>
      </w:pPr>
      <w:r>
        <w:rPr>
          <w:rFonts w:hint="eastAsia" w:ascii="宋体" w:hAnsi="宋体" w:eastAsia="宋体" w:cs="宋体"/>
          <w:sz w:val="24"/>
          <w:szCs w:val="24"/>
        </w:rPr>
        <w:t xml:space="preserve">1.6本项目包含范围： </w:t>
      </w:r>
    </w:p>
    <w:tbl>
      <w:tblPr>
        <w:tblStyle w:val="3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712"/>
        <w:gridCol w:w="1410"/>
        <w:gridCol w:w="708"/>
        <w:gridCol w:w="552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34" w:hRule="atLeast"/>
        </w:trPr>
        <w:tc>
          <w:tcPr>
            <w:tcW w:w="712" w:type="dxa"/>
            <w:vAlign w:val="center"/>
          </w:tcPr>
          <w:p>
            <w:pPr>
              <w:pStyle w:val="9"/>
              <w:spacing w:line="360" w:lineRule="auto"/>
              <w:ind w:firstLine="0"/>
              <w:jc w:val="center"/>
              <w:rPr>
                <w:rFonts w:ascii="宋体" w:hAnsi="宋体" w:eastAsia="宋体" w:cs="宋体"/>
                <w:b/>
                <w:sz w:val="24"/>
                <w:szCs w:val="24"/>
              </w:rPr>
            </w:pPr>
            <w:r>
              <w:rPr>
                <w:rFonts w:hint="eastAsia" w:ascii="宋体" w:hAnsi="宋体" w:eastAsia="宋体" w:cs="宋体"/>
                <w:b/>
                <w:sz w:val="24"/>
                <w:szCs w:val="24"/>
              </w:rPr>
              <w:t>序号</w:t>
            </w:r>
          </w:p>
        </w:tc>
        <w:tc>
          <w:tcPr>
            <w:tcW w:w="1410" w:type="dxa"/>
            <w:vAlign w:val="center"/>
          </w:tcPr>
          <w:p>
            <w:pPr>
              <w:pStyle w:val="9"/>
              <w:spacing w:line="360" w:lineRule="auto"/>
              <w:rPr>
                <w:rFonts w:ascii="宋体" w:hAnsi="宋体" w:eastAsia="宋体" w:cs="宋体"/>
                <w:b/>
                <w:sz w:val="24"/>
                <w:szCs w:val="24"/>
              </w:rPr>
            </w:pPr>
            <w:r>
              <w:rPr>
                <w:rFonts w:hint="eastAsia" w:ascii="宋体" w:hAnsi="宋体" w:eastAsia="宋体" w:cs="宋体"/>
                <w:b/>
                <w:sz w:val="24"/>
                <w:szCs w:val="24"/>
              </w:rPr>
              <w:t>项目</w:t>
            </w:r>
          </w:p>
        </w:tc>
        <w:tc>
          <w:tcPr>
            <w:tcW w:w="708" w:type="dxa"/>
            <w:vAlign w:val="center"/>
          </w:tcPr>
          <w:p>
            <w:pPr>
              <w:pStyle w:val="9"/>
              <w:spacing w:line="360" w:lineRule="auto"/>
              <w:ind w:firstLine="0"/>
              <w:jc w:val="center"/>
              <w:rPr>
                <w:rFonts w:ascii="宋体" w:hAnsi="宋体" w:eastAsia="宋体" w:cs="宋体"/>
                <w:b/>
                <w:sz w:val="24"/>
                <w:szCs w:val="24"/>
              </w:rPr>
            </w:pPr>
            <w:r>
              <w:rPr>
                <w:rFonts w:hint="eastAsia" w:ascii="宋体" w:hAnsi="宋体" w:eastAsia="宋体" w:cs="宋体"/>
                <w:b/>
                <w:sz w:val="24"/>
                <w:szCs w:val="24"/>
              </w:rPr>
              <w:t>数量</w:t>
            </w:r>
          </w:p>
        </w:tc>
        <w:tc>
          <w:tcPr>
            <w:tcW w:w="5529" w:type="dxa"/>
            <w:vAlign w:val="center"/>
          </w:tcPr>
          <w:p>
            <w:pPr>
              <w:pStyle w:val="9"/>
              <w:spacing w:line="360" w:lineRule="auto"/>
              <w:ind w:firstLine="0"/>
              <w:jc w:val="center"/>
              <w:rPr>
                <w:rFonts w:ascii="宋体" w:hAnsi="宋体" w:eastAsia="宋体" w:cs="宋体"/>
                <w:b/>
                <w:sz w:val="24"/>
                <w:szCs w:val="24"/>
              </w:rPr>
            </w:pPr>
            <w:r>
              <w:rPr>
                <w:rFonts w:hint="eastAsia" w:ascii="宋体" w:hAnsi="宋体" w:eastAsia="宋体" w:cs="宋体"/>
                <w:b/>
                <w:sz w:val="24"/>
                <w:szCs w:val="24"/>
              </w:rPr>
              <w:t>内容</w:t>
            </w:r>
          </w:p>
        </w:tc>
        <w:tc>
          <w:tcPr>
            <w:tcW w:w="708" w:type="dxa"/>
            <w:vAlign w:val="center"/>
          </w:tcPr>
          <w:p>
            <w:pPr>
              <w:pStyle w:val="9"/>
              <w:spacing w:line="360" w:lineRule="auto"/>
              <w:ind w:firstLine="0"/>
              <w:jc w:val="center"/>
              <w:rPr>
                <w:rFonts w:ascii="宋体" w:hAnsi="宋体" w:eastAsia="宋体" w:cs="宋体"/>
                <w:b/>
                <w:sz w:val="24"/>
                <w:szCs w:val="24"/>
              </w:rPr>
            </w:pPr>
            <w:r>
              <w:rPr>
                <w:rFonts w:hint="eastAsia" w:ascii="宋体" w:hAnsi="宋体" w:eastAsia="宋体" w:cs="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648" w:hRule="atLeast"/>
        </w:trPr>
        <w:tc>
          <w:tcPr>
            <w:tcW w:w="712" w:type="dxa"/>
            <w:vAlign w:val="center"/>
          </w:tcPr>
          <w:p>
            <w:pPr>
              <w:pStyle w:val="9"/>
              <w:spacing w:line="360" w:lineRule="auto"/>
              <w:ind w:firstLine="0"/>
              <w:jc w:val="center"/>
              <w:rPr>
                <w:rFonts w:ascii="宋体" w:hAnsi="宋体" w:eastAsia="宋体" w:cs="宋体"/>
                <w:kern w:val="2"/>
                <w:sz w:val="24"/>
                <w:szCs w:val="24"/>
              </w:rPr>
            </w:pPr>
            <w:r>
              <w:rPr>
                <w:rFonts w:hint="eastAsia" w:ascii="宋体" w:hAnsi="宋体" w:eastAsia="宋体" w:cs="宋体"/>
                <w:kern w:val="2"/>
                <w:sz w:val="24"/>
                <w:szCs w:val="24"/>
              </w:rPr>
              <w:t>1</w:t>
            </w:r>
          </w:p>
        </w:tc>
        <w:tc>
          <w:tcPr>
            <w:tcW w:w="1410" w:type="dxa"/>
            <w:vAlign w:val="center"/>
          </w:tcPr>
          <w:p>
            <w:pPr>
              <w:adjustRightInd w:val="0"/>
              <w:snapToGrid w:val="0"/>
              <w:spacing w:line="240" w:lineRule="atLeast"/>
              <w:jc w:val="center"/>
              <w:textAlignment w:val="baseline"/>
              <w:outlineLvl w:val="3"/>
              <w:rPr>
                <w:rFonts w:ascii="宋体" w:hAnsi="宋体" w:eastAsia="宋体" w:cs="宋体"/>
                <w:sz w:val="24"/>
                <w:szCs w:val="24"/>
              </w:rPr>
            </w:pPr>
            <w:r>
              <w:rPr>
                <w:rFonts w:hint="eastAsia" w:ascii="宋体" w:hAnsi="宋体" w:eastAsia="宋体" w:cs="宋体"/>
                <w:sz w:val="24"/>
                <w:szCs w:val="24"/>
              </w:rPr>
              <w:t>车架电泳废气处理设备</w:t>
            </w:r>
          </w:p>
        </w:tc>
        <w:tc>
          <w:tcPr>
            <w:tcW w:w="708" w:type="dxa"/>
            <w:vAlign w:val="center"/>
          </w:tcPr>
          <w:p>
            <w:pPr>
              <w:adjustRightInd w:val="0"/>
              <w:snapToGrid w:val="0"/>
              <w:spacing w:line="240" w:lineRule="atLeast"/>
              <w:jc w:val="center"/>
              <w:textAlignment w:val="baseline"/>
              <w:outlineLvl w:val="3"/>
              <w:rPr>
                <w:rFonts w:ascii="宋体" w:hAnsi="宋体" w:eastAsia="宋体" w:cs="宋体"/>
                <w:sz w:val="24"/>
                <w:szCs w:val="24"/>
              </w:rPr>
            </w:pPr>
            <w:r>
              <w:rPr>
                <w:rFonts w:hint="eastAsia" w:ascii="宋体" w:hAnsi="宋体" w:eastAsia="宋体" w:cs="宋体"/>
                <w:sz w:val="24"/>
                <w:szCs w:val="24"/>
              </w:rPr>
              <w:t>1</w:t>
            </w:r>
          </w:p>
        </w:tc>
        <w:tc>
          <w:tcPr>
            <w:tcW w:w="5529" w:type="dxa"/>
            <w:vAlign w:val="center"/>
          </w:tcPr>
          <w:p>
            <w:pPr>
              <w:adjustRightInd w:val="0"/>
              <w:snapToGrid w:val="0"/>
              <w:spacing w:line="240" w:lineRule="atLeast"/>
              <w:jc w:val="center"/>
              <w:textAlignment w:val="baseline"/>
              <w:outlineLvl w:val="3"/>
              <w:rPr>
                <w:rFonts w:ascii="宋体" w:hAnsi="宋体" w:eastAsia="宋体" w:cs="宋体"/>
                <w:sz w:val="24"/>
                <w:szCs w:val="24"/>
              </w:rPr>
            </w:pPr>
            <w:r>
              <w:rPr>
                <w:rFonts w:hint="eastAsia" w:ascii="宋体" w:hAnsi="宋体" w:eastAsia="宋体" w:cs="宋体"/>
                <w:sz w:val="24"/>
                <w:szCs w:val="24"/>
              </w:rPr>
              <w:t>包含TNV燃烧炉1套</w:t>
            </w:r>
            <w:r>
              <w:rPr>
                <w:rFonts w:ascii="宋体" w:hAnsi="宋体" w:eastAsia="宋体" w:cs="宋体"/>
                <w:sz w:val="24"/>
                <w:szCs w:val="24"/>
              </w:rPr>
              <w:t>，</w:t>
            </w:r>
            <w:r>
              <w:rPr>
                <w:rFonts w:hint="eastAsia" w:ascii="宋体" w:hAnsi="宋体" w:eastAsia="宋体" w:cs="宋体"/>
                <w:sz w:val="24"/>
                <w:szCs w:val="24"/>
              </w:rPr>
              <w:t>风机及其他附件、辅料1套，钢构平台1套等</w:t>
            </w:r>
          </w:p>
        </w:tc>
        <w:tc>
          <w:tcPr>
            <w:tcW w:w="708" w:type="dxa"/>
            <w:vAlign w:val="center"/>
          </w:tcPr>
          <w:p>
            <w:pPr>
              <w:pStyle w:val="9"/>
              <w:spacing w:line="360" w:lineRule="auto"/>
              <w:ind w:firstLine="0"/>
              <w:jc w:val="center"/>
              <w:rPr>
                <w:rFonts w:ascii="宋体" w:hAnsi="宋体" w:eastAsia="宋体" w:cs="宋体"/>
                <w:kern w:val="2"/>
                <w:sz w:val="24"/>
                <w:szCs w:val="24"/>
              </w:rPr>
            </w:pPr>
          </w:p>
        </w:tc>
      </w:tr>
    </w:tbl>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交货期：合同签订后</w:t>
      </w:r>
      <w:r>
        <w:rPr>
          <w:rFonts w:ascii="宋体" w:hAnsi="宋体" w:eastAsia="宋体" w:cs="宋体"/>
          <w:sz w:val="24"/>
          <w:szCs w:val="24"/>
        </w:rPr>
        <w:t>60</w:t>
      </w:r>
      <w:r>
        <w:rPr>
          <w:rFonts w:hint="eastAsia" w:ascii="宋体" w:hAnsi="宋体" w:eastAsia="宋体" w:cs="宋体"/>
          <w:sz w:val="24"/>
          <w:szCs w:val="24"/>
        </w:rPr>
        <w:t>个</w:t>
      </w:r>
      <w:r>
        <w:rPr>
          <w:rFonts w:ascii="宋体" w:hAnsi="宋体" w:eastAsia="宋体" w:cs="宋体"/>
          <w:sz w:val="24"/>
          <w:szCs w:val="24"/>
        </w:rPr>
        <w:t>日历日</w:t>
      </w:r>
      <w:r>
        <w:rPr>
          <w:rFonts w:hint="eastAsia" w:ascii="宋体" w:hAnsi="宋体" w:eastAsia="宋体" w:cs="宋体"/>
          <w:sz w:val="24"/>
          <w:szCs w:val="24"/>
        </w:rPr>
        <w:t>(包含设计、制造、运输、安装、调试、试运行、培训等，直至交付使用)</w:t>
      </w:r>
      <w:r>
        <w:rPr>
          <w:rFonts w:ascii="宋体" w:hAnsi="宋体" w:eastAsia="宋体" w:cs="宋体"/>
          <w:sz w:val="24"/>
          <w:szCs w:val="24"/>
        </w:rPr>
        <w:t>。</w:t>
      </w:r>
    </w:p>
    <w:p>
      <w:pPr>
        <w:pStyle w:val="5"/>
        <w:snapToGrid w:val="0"/>
        <w:ind w:left="541" w:leftChars="175" w:hanging="173" w:hangingChars="72"/>
        <w:rPr>
          <w:rFonts w:ascii="宋体" w:hAnsi="宋体" w:cs="宋体"/>
          <w:szCs w:val="24"/>
        </w:rPr>
      </w:pPr>
      <w:bookmarkStart w:id="35" w:name="_Toc12697"/>
      <w:r>
        <w:rPr>
          <w:rFonts w:hint="eastAsia" w:ascii="宋体" w:hAnsi="宋体" w:cs="宋体"/>
          <w:szCs w:val="24"/>
        </w:rPr>
        <w:t>二、使用环境与能源供给</w:t>
      </w:r>
      <w:bookmarkEnd w:id="35"/>
    </w:p>
    <w:p>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2.1使用环境</w:t>
      </w:r>
    </w:p>
    <w:p>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室内环境：温度：0℃～4</w:t>
      </w:r>
      <w:bookmarkStart w:id="36" w:name="_Hlk33180226"/>
      <w:r>
        <w:rPr>
          <w:rFonts w:hint="eastAsia" w:ascii="宋体" w:hAnsi="宋体" w:eastAsia="宋体" w:cs="宋体"/>
          <w:sz w:val="24"/>
          <w:szCs w:val="24"/>
        </w:rPr>
        <w:t>5℃</w:t>
      </w:r>
      <w:bookmarkEnd w:id="36"/>
      <w:r>
        <w:rPr>
          <w:rFonts w:hint="eastAsia" w:ascii="宋体" w:hAnsi="宋体" w:eastAsia="宋体" w:cs="宋体"/>
          <w:sz w:val="24"/>
          <w:szCs w:val="24"/>
        </w:rPr>
        <w:t>，相对湿度：≤95%（非结露环境）</w:t>
      </w:r>
    </w:p>
    <w:p>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室外温度：</w:t>
      </w:r>
      <w:bookmarkStart w:id="37" w:name="_Hlk33180233"/>
      <w:bookmarkStart w:id="38" w:name="_Hlk33180260"/>
      <w:r>
        <w:rPr>
          <w:rFonts w:hint="eastAsia" w:ascii="宋体" w:hAnsi="宋体" w:eastAsia="宋体" w:cs="宋体"/>
          <w:sz w:val="24"/>
          <w:szCs w:val="24"/>
        </w:rPr>
        <w:t>日均最高温度33℃</w:t>
      </w:r>
      <w:bookmarkEnd w:id="37"/>
      <w:r>
        <w:rPr>
          <w:rFonts w:hint="eastAsia" w:ascii="宋体" w:hAnsi="宋体" w:eastAsia="宋体" w:cs="宋体"/>
          <w:sz w:val="24"/>
          <w:szCs w:val="24"/>
        </w:rPr>
        <w:t>，日均最低温度-5℃</w:t>
      </w:r>
    </w:p>
    <w:bookmarkEnd w:id="38"/>
    <w:p>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年极端最高气温39.9℃，年极端最低气温-19.3℃</w:t>
      </w:r>
    </w:p>
    <w:p>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年平均气温：13.3℃，年平均相对湿度：65%</w:t>
      </w:r>
    </w:p>
    <w:p>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2.2能源供给</w:t>
      </w:r>
    </w:p>
    <w:p>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（1）电力：中国制式，三相五线制供电，供电电压380V±10%/220V±10%，供电频率50Hz±0.5Hz。</w:t>
      </w:r>
    </w:p>
    <w:p>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备注：GB/T12325-2008《电能质量 供电电压偏差》4.2规定20K及以下三相供电电压偏差为标称电压的±7%，4.3规定220V单相+7%。-10%。GB/T15945《电能质量 电力系统频率偏差》3.1规定电力系统正常运行条件下频率偏差限值为±0.2Hz。当系统容量较小时，偏差限值可以放宽到±0.5Hz。</w:t>
      </w:r>
    </w:p>
    <w:p>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（2）天然气：由市政供给天然气~0.3MPa,调到0.09Mpa（厂区压力），车间入口设置调压计量柜，将压力调至0.05Mpa送入车间。</w:t>
      </w:r>
    </w:p>
    <w:p>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（3）水：市政自来水0.25MPa(0.15-0.35MPa)，厂区暂未设计加压站。</w:t>
      </w:r>
    </w:p>
    <w:p>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（4）高温热水：采暖季：市政高温热水，</w:t>
      </w:r>
      <w:bookmarkStart w:id="39" w:name="_Hlk33007832"/>
      <w:r>
        <w:rPr>
          <w:rFonts w:hint="eastAsia" w:ascii="宋体" w:hAnsi="宋体" w:eastAsia="宋体" w:cs="宋体"/>
          <w:sz w:val="24"/>
          <w:szCs w:val="24"/>
        </w:rPr>
        <w:t>供回水温度80℃/60</w:t>
      </w:r>
      <w:bookmarkStart w:id="40" w:name="_Hlk80687985"/>
      <w:r>
        <w:rPr>
          <w:rFonts w:hint="eastAsia" w:ascii="宋体" w:hAnsi="宋体" w:eastAsia="宋体" w:cs="宋体"/>
          <w:sz w:val="24"/>
          <w:szCs w:val="24"/>
        </w:rPr>
        <w:t>℃</w:t>
      </w:r>
      <w:bookmarkEnd w:id="39"/>
      <w:bookmarkEnd w:id="40"/>
      <w:r>
        <w:rPr>
          <w:rFonts w:hint="eastAsia" w:ascii="宋体" w:hAnsi="宋体" w:eastAsia="宋体" w:cs="宋体"/>
          <w:sz w:val="24"/>
          <w:szCs w:val="24"/>
        </w:rPr>
        <w:t>，±15℃</w:t>
      </w:r>
    </w:p>
    <w:p>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（5）冷冻水：供回水温度：7℃/12℃，±3℃</w:t>
      </w:r>
    </w:p>
    <w:p>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（6）压缩空气：厂区空压站自产压缩空气，0.65 Mpa≤出站压力≤0.85 Mpa，</w:t>
      </w:r>
    </w:p>
    <w:p>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车间压缩空气主管网动态压力≥0.60 Mpa；范围：0.60 Mpa≤车间动态压力≤0.</w:t>
      </w:r>
      <w:r>
        <w:rPr>
          <w:rFonts w:ascii="宋体" w:hAnsi="宋体" w:eastAsia="宋体" w:cs="宋体"/>
          <w:sz w:val="24"/>
          <w:szCs w:val="24"/>
        </w:rPr>
        <w:t>68</w:t>
      </w:r>
      <w:r>
        <w:rPr>
          <w:rFonts w:hint="eastAsia" w:ascii="宋体" w:hAnsi="宋体" w:eastAsia="宋体" w:cs="宋体"/>
          <w:sz w:val="24"/>
          <w:szCs w:val="24"/>
        </w:rPr>
        <w:t xml:space="preserve"> Mpa。</w:t>
      </w:r>
    </w:p>
    <w:p>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备注：经车间压缩空气管道入口设置精密除油除尘过滤器后，压缩空气质量等级不低于GB/T13277.1-2008《压缩空气 第1部分：污染物净化等级》规定的1.2.1级。</w:t>
      </w:r>
    </w:p>
    <w:p>
      <w:pPr>
        <w:pStyle w:val="5"/>
        <w:ind w:firstLine="482" w:firstLineChars="200"/>
        <w:rPr>
          <w:rFonts w:ascii="宋体" w:hAnsi="宋体" w:cs="宋体"/>
          <w:szCs w:val="24"/>
        </w:rPr>
      </w:pPr>
      <w:bookmarkStart w:id="41" w:name="_Toc16724"/>
      <w:r>
        <w:rPr>
          <w:rFonts w:hint="eastAsia" w:ascii="宋体" w:hAnsi="宋体" w:cs="宋体"/>
          <w:szCs w:val="24"/>
        </w:rPr>
        <w:t>三、技术要求</w:t>
      </w:r>
    </w:p>
    <w:p>
      <w:pPr>
        <w:pStyle w:val="6"/>
        <w:spacing w:before="0" w:after="0" w:line="360" w:lineRule="auto"/>
        <w:rPr>
          <w:b w:val="0"/>
          <w:bCs w:val="0"/>
        </w:rPr>
      </w:pPr>
      <w:bookmarkStart w:id="42" w:name="_Toc97410282"/>
      <w:r>
        <w:rPr>
          <w:rFonts w:hint="eastAsia" w:ascii="宋体" w:hAnsi="宋体"/>
          <w:b w:val="0"/>
          <w:bCs w:val="0"/>
          <w:sz w:val="24"/>
          <w:szCs w:val="24"/>
        </w:rPr>
        <w:t>3.1</w:t>
      </w:r>
      <w:bookmarkEnd w:id="42"/>
      <w:r>
        <w:rPr>
          <w:rFonts w:ascii="宋体" w:hAnsi="宋体"/>
          <w:b w:val="0"/>
          <w:bCs w:val="0"/>
          <w:sz w:val="24"/>
          <w:szCs w:val="24"/>
        </w:rPr>
        <w:t xml:space="preserve"> </w:t>
      </w:r>
      <w:r>
        <w:rPr>
          <w:rFonts w:hint="eastAsia" w:ascii="宋体" w:hAnsi="宋体"/>
          <w:b w:val="0"/>
          <w:bCs w:val="0"/>
          <w:sz w:val="24"/>
          <w:szCs w:val="24"/>
        </w:rPr>
        <w:t>排放标准要求：</w:t>
      </w:r>
      <w:r>
        <w:rPr>
          <w:b w:val="0"/>
          <w:bCs w:val="0"/>
        </w:rPr>
        <w:t xml:space="preserve"> </w:t>
      </w:r>
    </w:p>
    <w:tbl>
      <w:tblPr>
        <w:tblStyle w:val="140"/>
        <w:tblW w:w="864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47"/>
        <w:gridCol w:w="2224"/>
        <w:gridCol w:w="2834"/>
        <w:gridCol w:w="283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jc w:val="center"/>
              <w:rPr>
                <w:rFonts w:ascii="宋体" w:hAnsi="宋体" w:eastAsia="宋体"/>
                <w:b w:val="0"/>
                <w:bCs w:val="0"/>
                <w:sz w:val="24"/>
              </w:rPr>
            </w:pPr>
            <w:r>
              <w:rPr>
                <w:rFonts w:ascii="宋体" w:hAnsi="宋体" w:eastAsia="宋体"/>
                <w:b w:val="0"/>
                <w:bCs w:val="0"/>
                <w:sz w:val="24"/>
              </w:rPr>
              <w:t>序号</w:t>
            </w:r>
          </w:p>
        </w:tc>
        <w:tc>
          <w:tcPr>
            <w:tcW w:w="2224" w:type="dxa"/>
            <w:tcBorders>
              <w:tl2br w:val="nil"/>
              <w:tr2bl w:val="nil"/>
            </w:tcBorders>
            <w:shd w:val="clear" w:color="auto" w:fill="auto"/>
            <w:vAlign w:val="center"/>
          </w:tcPr>
          <w:p>
            <w:pPr>
              <w:jc w:val="center"/>
              <w:rPr>
                <w:rFonts w:ascii="宋体" w:hAnsi="宋体" w:eastAsia="宋体"/>
                <w:b w:val="0"/>
                <w:bCs w:val="0"/>
                <w:sz w:val="24"/>
              </w:rPr>
            </w:pPr>
            <w:r>
              <w:rPr>
                <w:rFonts w:hint="eastAsia" w:ascii="宋体" w:hAnsi="宋体" w:eastAsia="宋体"/>
                <w:b w:val="0"/>
                <w:bCs w:val="0"/>
                <w:sz w:val="24"/>
              </w:rPr>
              <w:t>污染物</w:t>
            </w:r>
          </w:p>
        </w:tc>
        <w:tc>
          <w:tcPr>
            <w:tcW w:w="2834" w:type="dxa"/>
            <w:tcBorders>
              <w:tl2br w:val="nil"/>
              <w:tr2bl w:val="nil"/>
            </w:tcBorders>
            <w:shd w:val="clear" w:color="auto" w:fill="auto"/>
            <w:vAlign w:val="center"/>
          </w:tcPr>
          <w:p>
            <w:pPr>
              <w:jc w:val="center"/>
              <w:rPr>
                <w:rFonts w:ascii="宋体" w:hAnsi="宋体" w:eastAsia="宋体"/>
                <w:b w:val="0"/>
                <w:bCs w:val="0"/>
                <w:sz w:val="24"/>
              </w:rPr>
            </w:pPr>
            <w:r>
              <w:rPr>
                <w:rFonts w:hint="eastAsia" w:ascii="宋体" w:hAnsi="宋体" w:eastAsia="宋体"/>
                <w:b w:val="0"/>
                <w:bCs w:val="0"/>
                <w:sz w:val="24"/>
              </w:rPr>
              <w:t>最高允许排放浓度限值（</w:t>
            </w:r>
            <w:r>
              <w:rPr>
                <w:rFonts w:ascii="宋体" w:hAnsi="宋体" w:eastAsia="宋体"/>
                <w:b w:val="0"/>
                <w:bCs w:val="0"/>
                <w:sz w:val="24"/>
              </w:rPr>
              <w:t>mg/m³</w:t>
            </w:r>
            <w:r>
              <w:rPr>
                <w:rFonts w:hint="eastAsia" w:ascii="宋体" w:hAnsi="宋体" w:eastAsia="宋体"/>
                <w:b w:val="0"/>
                <w:bCs w:val="0"/>
                <w:sz w:val="24"/>
              </w:rPr>
              <w:t>）</w:t>
            </w:r>
          </w:p>
        </w:tc>
        <w:tc>
          <w:tcPr>
            <w:tcW w:w="2837" w:type="dxa"/>
            <w:tcBorders>
              <w:tl2br w:val="nil"/>
              <w:tr2bl w:val="nil"/>
            </w:tcBorders>
            <w:shd w:val="clear" w:color="auto" w:fill="auto"/>
            <w:vAlign w:val="center"/>
          </w:tcPr>
          <w:p>
            <w:pPr>
              <w:jc w:val="center"/>
              <w:rPr>
                <w:rFonts w:ascii="宋体" w:hAnsi="宋体" w:eastAsia="宋体"/>
                <w:b w:val="0"/>
                <w:bCs w:val="0"/>
                <w:sz w:val="24"/>
              </w:rPr>
            </w:pPr>
            <w:r>
              <w:rPr>
                <w:rFonts w:hint="eastAsia" w:ascii="宋体" w:hAnsi="宋体" w:eastAsia="宋体"/>
                <w:b w:val="0"/>
                <w:bCs w:val="0"/>
                <w:sz w:val="24"/>
              </w:rPr>
              <w:t>最高允许排放速率限值（kg</w:t>
            </w:r>
            <w:r>
              <w:rPr>
                <w:rFonts w:ascii="宋体" w:hAnsi="宋体" w:eastAsia="宋体"/>
                <w:b w:val="0"/>
                <w:bCs w:val="0"/>
                <w:sz w:val="24"/>
              </w:rPr>
              <w:t>/h</w:t>
            </w:r>
            <w:r>
              <w:rPr>
                <w:rFonts w:hint="eastAsia" w:ascii="宋体" w:hAnsi="宋体" w:eastAsia="宋体"/>
                <w:b w:val="0"/>
                <w:bCs w:val="0"/>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jc w:val="center"/>
              <w:rPr>
                <w:rFonts w:ascii="宋体" w:hAnsi="宋体" w:eastAsia="宋体"/>
                <w:b w:val="0"/>
                <w:bCs w:val="0"/>
                <w:sz w:val="24"/>
              </w:rPr>
            </w:pPr>
            <w:r>
              <w:rPr>
                <w:rFonts w:hint="eastAsia" w:ascii="宋体" w:hAnsi="宋体" w:eastAsia="宋体"/>
                <w:b w:val="0"/>
                <w:bCs w:val="0"/>
                <w:sz w:val="24"/>
              </w:rPr>
              <w:t>1</w:t>
            </w:r>
          </w:p>
        </w:tc>
        <w:tc>
          <w:tcPr>
            <w:tcW w:w="2224"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苯</w:t>
            </w:r>
          </w:p>
        </w:tc>
        <w:tc>
          <w:tcPr>
            <w:tcW w:w="2834"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1</w:t>
            </w:r>
            <w:r>
              <w:rPr>
                <w:rFonts w:ascii="宋体" w:hAnsi="宋体" w:eastAsia="宋体"/>
                <w:sz w:val="24"/>
              </w:rPr>
              <w:t>.0</w:t>
            </w:r>
          </w:p>
        </w:tc>
        <w:tc>
          <w:tcPr>
            <w:tcW w:w="2837"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0</w:t>
            </w:r>
            <w:r>
              <w:rPr>
                <w:rFonts w:ascii="宋体" w:hAnsi="宋体" w:eastAsia="宋体"/>
                <w:sz w:val="24"/>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jc w:val="center"/>
              <w:rPr>
                <w:rFonts w:ascii="宋体" w:hAnsi="宋体" w:eastAsia="宋体"/>
                <w:b w:val="0"/>
                <w:bCs w:val="0"/>
                <w:sz w:val="24"/>
              </w:rPr>
            </w:pPr>
            <w:r>
              <w:rPr>
                <w:rFonts w:hint="eastAsia" w:ascii="宋体" w:hAnsi="宋体" w:eastAsia="宋体"/>
                <w:b w:val="0"/>
                <w:bCs w:val="0"/>
                <w:sz w:val="24"/>
              </w:rPr>
              <w:t>2</w:t>
            </w:r>
          </w:p>
        </w:tc>
        <w:tc>
          <w:tcPr>
            <w:tcW w:w="2224"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甲苯</w:t>
            </w:r>
          </w:p>
        </w:tc>
        <w:tc>
          <w:tcPr>
            <w:tcW w:w="2834"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3</w:t>
            </w:r>
            <w:r>
              <w:rPr>
                <w:rFonts w:ascii="宋体" w:hAnsi="宋体" w:eastAsia="宋体"/>
                <w:sz w:val="24"/>
              </w:rPr>
              <w:t>.0</w:t>
            </w:r>
          </w:p>
        </w:tc>
        <w:tc>
          <w:tcPr>
            <w:tcW w:w="2837"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0</w:t>
            </w:r>
            <w:r>
              <w:rPr>
                <w:rFonts w:ascii="宋体" w:hAnsi="宋体" w:eastAsia="宋体"/>
                <w:sz w:val="24"/>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pStyle w:val="14"/>
              <w:jc w:val="center"/>
              <w:rPr>
                <w:b/>
                <w:bCs/>
              </w:rPr>
            </w:pPr>
            <w:r>
              <w:rPr>
                <w:rFonts w:hint="eastAsia" w:eastAsia="宋体"/>
                <w:b w:val="0"/>
                <w:bCs w:val="0"/>
                <w:sz w:val="24"/>
              </w:rPr>
              <w:t>3</w:t>
            </w:r>
          </w:p>
        </w:tc>
        <w:tc>
          <w:tcPr>
            <w:tcW w:w="2224"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二甲苯</w:t>
            </w:r>
          </w:p>
        </w:tc>
        <w:tc>
          <w:tcPr>
            <w:tcW w:w="2834" w:type="dxa"/>
            <w:tcBorders>
              <w:tl2br w:val="nil"/>
              <w:tr2bl w:val="nil"/>
            </w:tcBorders>
            <w:shd w:val="clear" w:color="auto" w:fill="auto"/>
            <w:vAlign w:val="center"/>
          </w:tcPr>
          <w:p>
            <w:pPr>
              <w:jc w:val="center"/>
              <w:rPr>
                <w:rFonts w:ascii="宋体" w:hAnsi="宋体" w:eastAsia="宋体"/>
                <w:sz w:val="24"/>
              </w:rPr>
            </w:pPr>
            <w:r>
              <w:rPr>
                <w:rFonts w:ascii="宋体" w:hAnsi="宋体" w:eastAsia="宋体"/>
                <w:sz w:val="24"/>
              </w:rPr>
              <w:t>12</w:t>
            </w:r>
          </w:p>
        </w:tc>
        <w:tc>
          <w:tcPr>
            <w:tcW w:w="2837"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1</w:t>
            </w:r>
            <w:r>
              <w:rPr>
                <w:rFonts w:ascii="宋体" w:hAnsi="宋体" w:eastAsia="宋体"/>
                <w:sz w:val="24"/>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jc w:val="center"/>
              <w:rPr>
                <w:rFonts w:ascii="宋体" w:hAnsi="宋体" w:eastAsia="宋体"/>
                <w:b w:val="0"/>
                <w:bCs w:val="0"/>
                <w:sz w:val="24"/>
              </w:rPr>
            </w:pPr>
            <w:r>
              <w:rPr>
                <w:rFonts w:hint="eastAsia" w:ascii="宋体" w:hAnsi="宋体" w:eastAsia="宋体"/>
                <w:b w:val="0"/>
                <w:bCs w:val="0"/>
                <w:sz w:val="24"/>
              </w:rPr>
              <w:t>4</w:t>
            </w:r>
          </w:p>
        </w:tc>
        <w:tc>
          <w:tcPr>
            <w:tcW w:w="2224"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苯系物</w:t>
            </w:r>
          </w:p>
        </w:tc>
        <w:tc>
          <w:tcPr>
            <w:tcW w:w="2834" w:type="dxa"/>
            <w:tcBorders>
              <w:tl2br w:val="nil"/>
              <w:tr2bl w:val="nil"/>
            </w:tcBorders>
            <w:shd w:val="clear" w:color="auto" w:fill="auto"/>
            <w:vAlign w:val="center"/>
          </w:tcPr>
          <w:p>
            <w:pPr>
              <w:jc w:val="center"/>
              <w:rPr>
                <w:rFonts w:ascii="宋体" w:hAnsi="宋体" w:eastAsia="宋体"/>
                <w:sz w:val="24"/>
              </w:rPr>
            </w:pPr>
            <w:r>
              <w:rPr>
                <w:rFonts w:ascii="宋体" w:hAnsi="宋体" w:eastAsia="宋体"/>
                <w:sz w:val="24"/>
              </w:rPr>
              <w:t>20</w:t>
            </w:r>
          </w:p>
        </w:tc>
        <w:tc>
          <w:tcPr>
            <w:tcW w:w="2837"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2</w:t>
            </w:r>
            <w:r>
              <w:rPr>
                <w:rFonts w:ascii="宋体" w:hAnsi="宋体" w:eastAsia="宋体"/>
                <w:sz w:val="24"/>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jc w:val="center"/>
              <w:rPr>
                <w:rFonts w:ascii="宋体" w:hAnsi="宋体" w:eastAsia="宋体"/>
                <w:b w:val="0"/>
                <w:bCs w:val="0"/>
                <w:sz w:val="24"/>
              </w:rPr>
            </w:pPr>
            <w:r>
              <w:rPr>
                <w:rFonts w:hint="eastAsia" w:ascii="宋体" w:hAnsi="宋体" w:eastAsia="宋体"/>
                <w:b w:val="0"/>
                <w:bCs w:val="0"/>
                <w:sz w:val="24"/>
              </w:rPr>
              <w:t>5</w:t>
            </w:r>
          </w:p>
        </w:tc>
        <w:tc>
          <w:tcPr>
            <w:tcW w:w="2224" w:type="dxa"/>
            <w:tcBorders>
              <w:tl2br w:val="nil"/>
              <w:tr2bl w:val="nil"/>
            </w:tcBorders>
            <w:shd w:val="clear" w:color="auto" w:fill="auto"/>
            <w:vAlign w:val="center"/>
          </w:tcPr>
          <w:p>
            <w:pPr>
              <w:jc w:val="center"/>
              <w:rPr>
                <w:rFonts w:ascii="宋体" w:hAnsi="宋体" w:eastAsia="宋体"/>
                <w:sz w:val="24"/>
              </w:rPr>
            </w:pPr>
            <w:r>
              <w:rPr>
                <w:rFonts w:ascii="宋体" w:hAnsi="宋体" w:eastAsia="宋体"/>
                <w:sz w:val="24"/>
              </w:rPr>
              <w:t>VOCs</w:t>
            </w:r>
          </w:p>
        </w:tc>
        <w:tc>
          <w:tcPr>
            <w:tcW w:w="2834"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≤24</w:t>
            </w:r>
            <w:r>
              <w:rPr>
                <w:rFonts w:ascii="宋体" w:hAnsi="宋体" w:eastAsia="宋体"/>
                <w:sz w:val="24"/>
              </w:rPr>
              <w:t xml:space="preserve"> </w:t>
            </w:r>
          </w:p>
        </w:tc>
        <w:tc>
          <w:tcPr>
            <w:tcW w:w="2837"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3</w:t>
            </w:r>
            <w:r>
              <w:rPr>
                <w:rFonts w:ascii="宋体" w:hAnsi="宋体" w:eastAsia="宋体"/>
                <w:sz w:val="24"/>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right w:val="single" w:color="auto" w:sz="4" w:space="0"/>
              <w:tl2br w:val="nil"/>
              <w:tr2bl w:val="nil"/>
            </w:tcBorders>
            <w:shd w:val="clear" w:color="auto" w:fill="auto"/>
            <w:vAlign w:val="center"/>
          </w:tcPr>
          <w:p>
            <w:pPr>
              <w:jc w:val="center"/>
              <w:rPr>
                <w:rFonts w:ascii="宋体" w:hAnsi="宋体" w:eastAsia="宋体"/>
                <w:b w:val="0"/>
                <w:bCs w:val="0"/>
                <w:sz w:val="24"/>
              </w:rPr>
            </w:pPr>
            <w:r>
              <w:rPr>
                <w:rFonts w:hint="eastAsia" w:ascii="宋体" w:hAnsi="宋体" w:eastAsia="宋体"/>
                <w:b w:val="0"/>
                <w:bCs w:val="0"/>
                <w:sz w:val="24"/>
              </w:rPr>
              <w:t>6</w:t>
            </w:r>
          </w:p>
        </w:tc>
        <w:tc>
          <w:tcPr>
            <w:tcW w:w="7895" w:type="dxa"/>
            <w:gridSpan w:val="3"/>
            <w:tcBorders>
              <w:left w:val="single" w:color="auto" w:sz="4" w:space="0"/>
              <w:tl2br w:val="nil"/>
              <w:tr2bl w:val="nil"/>
            </w:tcBorders>
            <w:shd w:val="clear" w:color="auto" w:fill="auto"/>
            <w:vAlign w:val="center"/>
          </w:tcPr>
          <w:p>
            <w:pPr>
              <w:jc w:val="center"/>
              <w:rPr>
                <w:rFonts w:ascii="宋体" w:hAnsi="宋体" w:eastAsia="宋体"/>
                <w:sz w:val="24"/>
              </w:rPr>
            </w:pPr>
            <w:r>
              <w:rPr>
                <w:rFonts w:ascii="宋体" w:hAnsi="宋体" w:eastAsia="宋体"/>
                <w:sz w:val="24"/>
              </w:rPr>
              <w:t>氮氧化物小于100mg/m³，颗粒物小于10mg/m³，二氧化硫小于50mg/m³</w:t>
            </w:r>
            <w:r>
              <w:rPr>
                <w:rFonts w:hint="eastAsia" w:ascii="宋体" w:hAnsi="宋体" w:eastAsia="宋体"/>
                <w:sz w:val="24"/>
              </w:rPr>
              <w:t>。</w:t>
            </w:r>
          </w:p>
        </w:tc>
      </w:tr>
    </w:tbl>
    <w:p>
      <w:pPr>
        <w:pStyle w:val="6"/>
        <w:spacing w:before="0" w:after="0" w:line="360" w:lineRule="auto"/>
        <w:rPr>
          <w:rFonts w:ascii="宋体" w:hAnsi="宋体"/>
          <w:b w:val="0"/>
          <w:bCs w:val="0"/>
          <w:sz w:val="24"/>
          <w:szCs w:val="24"/>
        </w:rPr>
      </w:pPr>
      <w:bookmarkStart w:id="43" w:name="_Toc4255897"/>
      <w:bookmarkStart w:id="44" w:name="_Toc97410284"/>
      <w:r>
        <w:rPr>
          <w:rFonts w:ascii="宋体" w:hAnsi="宋体"/>
          <w:b w:val="0"/>
          <w:bCs w:val="0"/>
          <w:sz w:val="24"/>
          <w:szCs w:val="24"/>
        </w:rPr>
        <w:t>3.2</w:t>
      </w:r>
      <w:bookmarkEnd w:id="43"/>
      <w:bookmarkEnd w:id="44"/>
      <w:r>
        <w:rPr>
          <w:rFonts w:hint="eastAsia" w:ascii="宋体" w:hAnsi="宋体"/>
          <w:b w:val="0"/>
          <w:bCs w:val="0"/>
          <w:sz w:val="24"/>
          <w:szCs w:val="24"/>
        </w:rPr>
        <w:t>基础数据</w:t>
      </w:r>
    </w:p>
    <w:tbl>
      <w:tblPr>
        <w:tblStyle w:val="140"/>
        <w:tblW w:w="864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47"/>
        <w:gridCol w:w="2509"/>
        <w:gridCol w:w="53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jc w:val="center"/>
              <w:rPr>
                <w:rFonts w:ascii="宋体" w:hAnsi="宋体" w:eastAsia="宋体"/>
                <w:b w:val="0"/>
                <w:bCs w:val="0"/>
                <w:sz w:val="24"/>
              </w:rPr>
            </w:pPr>
            <w:r>
              <w:rPr>
                <w:rFonts w:ascii="宋体" w:hAnsi="宋体" w:eastAsia="宋体"/>
                <w:b w:val="0"/>
                <w:bCs w:val="0"/>
                <w:sz w:val="24"/>
              </w:rPr>
              <w:t>序号</w:t>
            </w:r>
          </w:p>
        </w:tc>
        <w:tc>
          <w:tcPr>
            <w:tcW w:w="2509" w:type="dxa"/>
            <w:tcBorders>
              <w:tl2br w:val="nil"/>
              <w:tr2bl w:val="nil"/>
            </w:tcBorders>
            <w:shd w:val="clear" w:color="auto" w:fill="auto"/>
            <w:vAlign w:val="center"/>
          </w:tcPr>
          <w:p>
            <w:pPr>
              <w:jc w:val="center"/>
              <w:rPr>
                <w:rFonts w:ascii="宋体" w:hAnsi="宋体" w:eastAsia="宋体"/>
                <w:b w:val="0"/>
                <w:bCs w:val="0"/>
                <w:sz w:val="24"/>
              </w:rPr>
            </w:pPr>
            <w:r>
              <w:rPr>
                <w:rFonts w:ascii="宋体" w:hAnsi="宋体" w:eastAsia="宋体"/>
                <w:b w:val="0"/>
                <w:bCs w:val="0"/>
                <w:sz w:val="24"/>
              </w:rPr>
              <w:t>项目</w:t>
            </w:r>
          </w:p>
        </w:tc>
        <w:tc>
          <w:tcPr>
            <w:tcW w:w="5386" w:type="dxa"/>
            <w:tcBorders>
              <w:tl2br w:val="nil"/>
              <w:tr2bl w:val="nil"/>
            </w:tcBorders>
            <w:shd w:val="clear" w:color="auto" w:fill="auto"/>
            <w:vAlign w:val="center"/>
          </w:tcPr>
          <w:p>
            <w:pPr>
              <w:jc w:val="center"/>
              <w:rPr>
                <w:rFonts w:ascii="宋体" w:hAnsi="宋体" w:eastAsia="宋体"/>
                <w:b w:val="0"/>
                <w:bCs w:val="0"/>
                <w:sz w:val="24"/>
              </w:rPr>
            </w:pPr>
            <w:r>
              <w:rPr>
                <w:rFonts w:hint="eastAsia" w:ascii="宋体" w:hAnsi="宋体" w:eastAsia="宋体"/>
                <w:b w:val="0"/>
                <w:bCs w:val="0"/>
                <w:sz w:val="24"/>
              </w:rPr>
              <w:t>烘干炉废气</w:t>
            </w:r>
            <w:r>
              <w:rPr>
                <w:rFonts w:ascii="宋体" w:hAnsi="宋体" w:eastAsia="宋体"/>
                <w:b w:val="0"/>
                <w:bCs w:val="0"/>
                <w:sz w:val="24"/>
              </w:rPr>
              <w:t>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numPr>
                <w:ilvl w:val="0"/>
                <w:numId w:val="12"/>
              </w:numPr>
              <w:autoSpaceDE w:val="0"/>
              <w:autoSpaceDN w:val="0"/>
              <w:adjustRightInd w:val="0"/>
              <w:spacing w:line="315" w:lineRule="atLeast"/>
              <w:jc w:val="center"/>
              <w:rPr>
                <w:rFonts w:ascii="宋体" w:hAnsi="宋体" w:eastAsia="宋体"/>
                <w:b w:val="0"/>
                <w:bCs w:val="0"/>
                <w:sz w:val="24"/>
              </w:rPr>
            </w:pPr>
          </w:p>
        </w:tc>
        <w:tc>
          <w:tcPr>
            <w:tcW w:w="2509" w:type="dxa"/>
            <w:tcBorders>
              <w:tl2br w:val="nil"/>
              <w:tr2bl w:val="nil"/>
            </w:tcBorders>
            <w:shd w:val="clear" w:color="auto" w:fill="auto"/>
            <w:vAlign w:val="center"/>
          </w:tcPr>
          <w:p>
            <w:pPr>
              <w:jc w:val="center"/>
              <w:rPr>
                <w:rFonts w:ascii="宋体" w:hAnsi="宋体" w:eastAsia="宋体"/>
                <w:sz w:val="24"/>
              </w:rPr>
            </w:pPr>
            <w:r>
              <w:rPr>
                <w:rFonts w:ascii="宋体" w:hAnsi="宋体" w:eastAsia="宋体"/>
                <w:sz w:val="24"/>
              </w:rPr>
              <w:t>待处理废气风量</w:t>
            </w:r>
          </w:p>
        </w:tc>
        <w:tc>
          <w:tcPr>
            <w:tcW w:w="5386" w:type="dxa"/>
            <w:tcBorders>
              <w:tl2br w:val="nil"/>
              <w:tr2bl w:val="nil"/>
            </w:tcBorders>
            <w:shd w:val="clear" w:color="auto" w:fill="auto"/>
            <w:vAlign w:val="center"/>
          </w:tcPr>
          <w:p>
            <w:pPr>
              <w:jc w:val="center"/>
              <w:rPr>
                <w:rFonts w:ascii="宋体" w:hAnsi="宋体" w:eastAsia="宋体"/>
                <w:sz w:val="24"/>
              </w:rPr>
            </w:pPr>
            <w:r>
              <w:rPr>
                <w:rFonts w:ascii="宋体" w:hAnsi="宋体" w:eastAsia="宋体"/>
                <w:sz w:val="24"/>
              </w:rPr>
              <w:t>&lt;</w:t>
            </w:r>
            <w:r>
              <w:rPr>
                <w:rFonts w:hint="eastAsia" w:ascii="宋体" w:hAnsi="宋体" w:eastAsia="宋体"/>
                <w:sz w:val="24"/>
              </w:rPr>
              <w:t>3000</w:t>
            </w:r>
            <w:r>
              <w:rPr>
                <w:rFonts w:ascii="宋体" w:hAnsi="宋体" w:eastAsia="宋体"/>
                <w:sz w:val="24"/>
              </w:rPr>
              <w:t>m³/h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numPr>
                <w:ilvl w:val="0"/>
                <w:numId w:val="12"/>
              </w:numPr>
              <w:autoSpaceDE w:val="0"/>
              <w:autoSpaceDN w:val="0"/>
              <w:adjustRightInd w:val="0"/>
              <w:spacing w:line="315" w:lineRule="atLeast"/>
              <w:jc w:val="center"/>
              <w:rPr>
                <w:rFonts w:ascii="宋体" w:hAnsi="宋体" w:eastAsia="宋体"/>
                <w:b w:val="0"/>
                <w:bCs w:val="0"/>
                <w:sz w:val="24"/>
              </w:rPr>
            </w:pPr>
          </w:p>
        </w:tc>
        <w:tc>
          <w:tcPr>
            <w:tcW w:w="2509" w:type="dxa"/>
            <w:tcBorders>
              <w:tl2br w:val="nil"/>
              <w:tr2bl w:val="nil"/>
            </w:tcBorders>
            <w:shd w:val="clear" w:color="auto" w:fill="auto"/>
            <w:vAlign w:val="center"/>
          </w:tcPr>
          <w:p>
            <w:pPr>
              <w:jc w:val="center"/>
              <w:rPr>
                <w:rFonts w:ascii="宋体" w:hAnsi="宋体" w:eastAsia="宋体"/>
                <w:sz w:val="24"/>
              </w:rPr>
            </w:pPr>
            <w:r>
              <w:rPr>
                <w:rFonts w:ascii="宋体" w:hAnsi="宋体" w:eastAsia="宋体"/>
                <w:sz w:val="24"/>
              </w:rPr>
              <w:t>VOCs浓度</w:t>
            </w:r>
            <w:r>
              <w:rPr>
                <w:rFonts w:hint="eastAsia" w:ascii="宋体" w:hAnsi="宋体" w:eastAsia="宋体"/>
                <w:sz w:val="24"/>
              </w:rPr>
              <w:t>（处理前）</w:t>
            </w:r>
          </w:p>
        </w:tc>
        <w:tc>
          <w:tcPr>
            <w:tcW w:w="5386"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cs="宋体"/>
                <w:sz w:val="24"/>
              </w:rPr>
              <w:t xml:space="preserve">进口&lt; </w:t>
            </w:r>
            <w:r>
              <w:rPr>
                <w:rFonts w:ascii="宋体" w:hAnsi="宋体" w:eastAsia="宋体" w:cs="宋体"/>
                <w:sz w:val="24"/>
              </w:rPr>
              <w:t>100</w:t>
            </w:r>
            <w:r>
              <w:rPr>
                <w:rFonts w:hint="eastAsia" w:ascii="宋体" w:hAnsi="宋体" w:eastAsia="宋体" w:cs="宋体"/>
                <w:sz w:val="24"/>
              </w:rPr>
              <w:t>mg/m³（预估值，项目实施前进行实测，以实测为准）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numPr>
                <w:ilvl w:val="0"/>
                <w:numId w:val="12"/>
              </w:numPr>
              <w:autoSpaceDE w:val="0"/>
              <w:autoSpaceDN w:val="0"/>
              <w:adjustRightInd w:val="0"/>
              <w:spacing w:line="315" w:lineRule="atLeast"/>
              <w:jc w:val="center"/>
              <w:rPr>
                <w:rFonts w:ascii="宋体" w:hAnsi="宋体" w:eastAsia="宋体"/>
                <w:b w:val="0"/>
                <w:bCs w:val="0"/>
                <w:sz w:val="24"/>
              </w:rPr>
            </w:pPr>
          </w:p>
        </w:tc>
        <w:tc>
          <w:tcPr>
            <w:tcW w:w="2509" w:type="dxa"/>
            <w:tcBorders>
              <w:tl2br w:val="nil"/>
              <w:tr2bl w:val="nil"/>
            </w:tcBorders>
            <w:shd w:val="clear" w:color="auto" w:fill="auto"/>
            <w:vAlign w:val="center"/>
          </w:tcPr>
          <w:p>
            <w:pPr>
              <w:jc w:val="center"/>
              <w:rPr>
                <w:rFonts w:ascii="宋体" w:hAnsi="宋体" w:eastAsia="宋体"/>
                <w:sz w:val="24"/>
              </w:rPr>
            </w:pPr>
            <w:r>
              <w:rPr>
                <w:rFonts w:ascii="宋体" w:hAnsi="宋体" w:eastAsia="宋体"/>
                <w:sz w:val="24"/>
              </w:rPr>
              <w:t>待处理废气温度</w:t>
            </w:r>
          </w:p>
        </w:tc>
        <w:tc>
          <w:tcPr>
            <w:tcW w:w="5386"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180-200℃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47" w:type="dxa"/>
            <w:tcBorders>
              <w:tl2br w:val="nil"/>
              <w:tr2bl w:val="nil"/>
            </w:tcBorders>
            <w:shd w:val="clear" w:color="auto" w:fill="auto"/>
            <w:vAlign w:val="center"/>
          </w:tcPr>
          <w:p>
            <w:pPr>
              <w:numPr>
                <w:ilvl w:val="0"/>
                <w:numId w:val="12"/>
              </w:numPr>
              <w:autoSpaceDE w:val="0"/>
              <w:autoSpaceDN w:val="0"/>
              <w:adjustRightInd w:val="0"/>
              <w:spacing w:line="315" w:lineRule="atLeast"/>
              <w:jc w:val="center"/>
              <w:rPr>
                <w:rFonts w:ascii="宋体" w:hAnsi="宋体" w:eastAsia="宋体"/>
                <w:b w:val="0"/>
                <w:bCs w:val="0"/>
                <w:sz w:val="24"/>
              </w:rPr>
            </w:pPr>
          </w:p>
        </w:tc>
        <w:tc>
          <w:tcPr>
            <w:tcW w:w="2509"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设备位置</w:t>
            </w:r>
          </w:p>
        </w:tc>
        <w:tc>
          <w:tcPr>
            <w:tcW w:w="5386" w:type="dxa"/>
            <w:tcBorders>
              <w:tl2br w:val="nil"/>
              <w:tr2bl w:val="nil"/>
            </w:tcBorders>
            <w:shd w:val="clear" w:color="auto" w:fill="auto"/>
            <w:vAlign w:val="center"/>
          </w:tcPr>
          <w:p>
            <w:pPr>
              <w:jc w:val="center"/>
              <w:rPr>
                <w:rFonts w:ascii="宋体" w:hAnsi="宋体" w:eastAsia="宋体"/>
                <w:sz w:val="24"/>
              </w:rPr>
            </w:pPr>
            <w:r>
              <w:rPr>
                <w:rFonts w:hint="eastAsia" w:ascii="宋体" w:hAnsi="宋体" w:eastAsia="宋体"/>
                <w:sz w:val="24"/>
              </w:rPr>
              <w:t>厂房内需搭建钢构平台</w:t>
            </w:r>
          </w:p>
        </w:tc>
      </w:tr>
    </w:tbl>
    <w:p>
      <w:pPr>
        <w:spacing w:line="360" w:lineRule="auto"/>
        <w:ind w:firstLine="480" w:firstLineChars="200"/>
        <w:rPr>
          <w:rFonts w:ascii="宋体" w:hAnsi="宋体" w:eastAsia="宋体"/>
          <w:sz w:val="24"/>
        </w:rPr>
      </w:pPr>
      <w:r>
        <w:rPr>
          <w:rFonts w:hint="eastAsia" w:ascii="宋体" w:hAnsi="宋体" w:eastAsia="宋体"/>
          <w:sz w:val="24"/>
        </w:rPr>
        <w:t>废气</w:t>
      </w:r>
      <w:r>
        <w:rPr>
          <w:rFonts w:ascii="宋体" w:hAnsi="宋体" w:eastAsia="宋体"/>
          <w:sz w:val="24"/>
        </w:rPr>
        <w:t>处理系统包括</w:t>
      </w:r>
      <w:r>
        <w:rPr>
          <w:rFonts w:hint="eastAsia" w:ascii="宋体" w:hAnsi="宋体" w:eastAsia="宋体"/>
          <w:sz w:val="24"/>
        </w:rPr>
        <w:t>炉体，燃烧器，助燃风机，换热器，燃烧机，控制系统及超温排放阀，泄爆片，阻火器等控制程序。</w:t>
      </w:r>
      <w:r>
        <w:rPr>
          <w:rFonts w:ascii="宋体" w:hAnsi="宋体" w:eastAsia="宋体"/>
          <w:sz w:val="24"/>
        </w:rPr>
        <w:t>同时，由于</w:t>
      </w:r>
      <w:r>
        <w:rPr>
          <w:rFonts w:hint="eastAsia" w:ascii="宋体" w:hAnsi="宋体" w:eastAsia="宋体"/>
          <w:sz w:val="24"/>
        </w:rPr>
        <w:t>现场</w:t>
      </w:r>
      <w:r>
        <w:rPr>
          <w:rFonts w:ascii="宋体" w:hAnsi="宋体" w:eastAsia="宋体"/>
          <w:sz w:val="24"/>
        </w:rPr>
        <w:t>环境限制，需</w:t>
      </w:r>
      <w:r>
        <w:rPr>
          <w:rFonts w:hint="eastAsia" w:ascii="宋体" w:hAnsi="宋体" w:eastAsia="宋体"/>
          <w:sz w:val="24"/>
        </w:rPr>
        <w:t>搭建4米</w:t>
      </w:r>
      <w:r>
        <w:rPr>
          <w:rFonts w:ascii="宋体" w:hAnsi="宋体" w:eastAsia="宋体"/>
          <w:sz w:val="24"/>
        </w:rPr>
        <w:t>以上</w:t>
      </w:r>
      <w:r>
        <w:rPr>
          <w:rFonts w:hint="eastAsia" w:ascii="宋体" w:hAnsi="宋体" w:eastAsia="宋体"/>
          <w:sz w:val="24"/>
        </w:rPr>
        <w:t>钢构平台，将</w:t>
      </w:r>
      <w:r>
        <w:rPr>
          <w:rFonts w:ascii="宋体" w:hAnsi="宋体" w:eastAsia="宋体"/>
          <w:sz w:val="24"/>
        </w:rPr>
        <w:t>以上处理系统安装在平台上，</w:t>
      </w:r>
      <w:r>
        <w:rPr>
          <w:rFonts w:hint="eastAsia" w:ascii="宋体" w:hAnsi="宋体" w:eastAsia="宋体"/>
          <w:sz w:val="24"/>
        </w:rPr>
        <w:t>不</w:t>
      </w:r>
      <w:r>
        <w:rPr>
          <w:rFonts w:ascii="宋体" w:hAnsi="宋体" w:eastAsia="宋体"/>
          <w:sz w:val="24"/>
        </w:rPr>
        <w:t>影响现场物流通</w:t>
      </w:r>
      <w:r>
        <w:rPr>
          <w:rFonts w:hint="eastAsia" w:ascii="宋体" w:hAnsi="宋体" w:eastAsia="宋体"/>
          <w:sz w:val="24"/>
        </w:rPr>
        <w:t>道</w:t>
      </w:r>
      <w:r>
        <w:rPr>
          <w:rFonts w:ascii="宋体" w:hAnsi="宋体" w:eastAsia="宋体"/>
          <w:sz w:val="24"/>
        </w:rPr>
        <w:t>运行。</w:t>
      </w:r>
    </w:p>
    <w:p>
      <w:pPr>
        <w:pStyle w:val="6"/>
        <w:spacing w:before="0" w:after="0" w:line="360" w:lineRule="auto"/>
        <w:rPr>
          <w:rFonts w:ascii="宋体" w:hAnsi="宋体"/>
          <w:b w:val="0"/>
          <w:bCs w:val="0"/>
          <w:sz w:val="24"/>
          <w:szCs w:val="24"/>
        </w:rPr>
      </w:pPr>
      <w:bookmarkStart w:id="45" w:name="_Toc72438648"/>
      <w:bookmarkStart w:id="46" w:name="_Toc39052509"/>
      <w:bookmarkStart w:id="47" w:name="_Toc24065182"/>
      <w:bookmarkStart w:id="48" w:name="_Toc24016753"/>
      <w:bookmarkStart w:id="49" w:name="_Toc23792847"/>
      <w:r>
        <w:rPr>
          <w:rFonts w:ascii="宋体" w:hAnsi="宋体"/>
          <w:b w:val="0"/>
          <w:bCs w:val="0"/>
          <w:sz w:val="24"/>
          <w:szCs w:val="24"/>
        </w:rPr>
        <w:t xml:space="preserve">3.3 </w:t>
      </w:r>
      <w:r>
        <w:rPr>
          <w:rFonts w:hint="eastAsia" w:ascii="宋体" w:hAnsi="宋体"/>
          <w:b w:val="0"/>
          <w:bCs w:val="0"/>
          <w:sz w:val="24"/>
          <w:szCs w:val="24"/>
        </w:rPr>
        <w:t>项目执行标准</w:t>
      </w:r>
      <w:bookmarkEnd w:id="45"/>
      <w:bookmarkEnd w:id="46"/>
      <w:bookmarkEnd w:id="47"/>
      <w:bookmarkEnd w:id="48"/>
      <w:bookmarkEnd w:id="49"/>
    </w:p>
    <w:p>
      <w:pPr>
        <w:spacing w:line="360" w:lineRule="auto"/>
        <w:ind w:firstLine="482"/>
        <w:rPr>
          <w:rFonts w:ascii="宋体" w:hAnsi="宋体" w:eastAsia="宋体" w:cs="宋体"/>
          <w:sz w:val="24"/>
        </w:rPr>
      </w:pPr>
      <w:r>
        <w:rPr>
          <w:rFonts w:hint="eastAsia" w:ascii="宋体" w:hAnsi="宋体" w:eastAsia="宋体" w:cs="宋体"/>
          <w:sz w:val="24"/>
        </w:rPr>
        <w:t>本系统的设计、制造、验收规范主要按下列标准和技术规范进行：</w:t>
      </w:r>
    </w:p>
    <w:tbl>
      <w:tblPr>
        <w:tblStyle w:val="38"/>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GB37822-2019</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color w:val="000000"/>
                <w:szCs w:val="21"/>
              </w:rPr>
              <w:t>《</w:t>
            </w:r>
            <w:r>
              <w:rPr>
                <w:rFonts w:hint="eastAsia" w:ascii="宋体" w:hAnsi="宋体" w:eastAsia="宋体"/>
                <w:szCs w:val="21"/>
              </w:rPr>
              <w:t>挥发性有机物无组织排放控制标准</w:t>
            </w:r>
            <w:r>
              <w:rPr>
                <w:rFonts w:hint="eastAsia" w:ascii="宋体" w:hAnsi="宋体" w:eastAsia="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left"/>
              <w:rPr>
                <w:rFonts w:ascii="宋体" w:hAnsi="宋体" w:eastAsia="宋体"/>
                <w:color w:val="000000"/>
                <w:szCs w:val="21"/>
              </w:rPr>
            </w:pPr>
            <w:r>
              <w:rPr>
                <w:rFonts w:ascii="宋体" w:hAnsi="宋体" w:eastAsia="宋体"/>
                <w:color w:val="000000"/>
                <w:szCs w:val="21"/>
              </w:rPr>
              <w:t>DB37/2801.1</w:t>
            </w:r>
            <w:r>
              <w:rPr>
                <w:rFonts w:hint="eastAsia" w:ascii="宋体" w:hAnsi="宋体" w:eastAsia="宋体"/>
                <w:color w:val="000000"/>
                <w:szCs w:val="21"/>
              </w:rPr>
              <w:t>－</w:t>
            </w:r>
            <w:r>
              <w:rPr>
                <w:rFonts w:ascii="宋体" w:hAnsi="宋体" w:eastAsia="宋体"/>
                <w:color w:val="000000"/>
                <w:szCs w:val="21"/>
              </w:rPr>
              <w:t>2016</w:t>
            </w:r>
          </w:p>
        </w:tc>
        <w:tc>
          <w:tcPr>
            <w:tcW w:w="6925" w:type="dxa"/>
            <w:vAlign w:val="center"/>
          </w:tcPr>
          <w:p>
            <w:pPr>
              <w:adjustRightInd w:val="0"/>
              <w:snapToGrid w:val="0"/>
              <w:jc w:val="left"/>
              <w:rPr>
                <w:rFonts w:ascii="宋体" w:hAnsi="宋体" w:eastAsia="宋体"/>
                <w:color w:val="000000"/>
                <w:szCs w:val="21"/>
              </w:rPr>
            </w:pPr>
            <w:r>
              <w:rPr>
                <w:rFonts w:hint="eastAsia" w:ascii="宋体" w:hAnsi="宋体" w:eastAsia="宋体"/>
                <w:color w:val="000000"/>
                <w:szCs w:val="21"/>
              </w:rPr>
              <w:t>《挥发性有机物排放标准》第1</w:t>
            </w:r>
            <w:r>
              <w:rPr>
                <w:rFonts w:ascii="宋体" w:hAnsi="宋体" w:eastAsia="宋体"/>
                <w:color w:val="000000"/>
                <w:szCs w:val="21"/>
              </w:rPr>
              <w:t>部分：汽车制造业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GB16297-1996</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《大气污染物综合排放标准》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DB37 2376-2019</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《山东省区域性大气污染物综合排放标准》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left"/>
              <w:rPr>
                <w:rFonts w:ascii="宋体" w:hAnsi="宋体" w:eastAsia="宋体"/>
                <w:szCs w:val="21"/>
              </w:rPr>
            </w:pPr>
            <w:r>
              <w:rPr>
                <w:rFonts w:hint="eastAsia" w:ascii="宋体" w:hAnsi="宋体" w:eastAsia="宋体"/>
                <w:szCs w:val="21"/>
              </w:rPr>
              <w:t>AQ</w:t>
            </w:r>
            <w:r>
              <w:rPr>
                <w:rFonts w:ascii="宋体" w:hAnsi="宋体" w:eastAsia="宋体"/>
                <w:szCs w:val="21"/>
              </w:rPr>
              <w:t>/</w:t>
            </w:r>
            <w:r>
              <w:rPr>
                <w:rFonts w:hint="eastAsia" w:ascii="宋体" w:hAnsi="宋体" w:eastAsia="宋体"/>
                <w:szCs w:val="21"/>
              </w:rPr>
              <w:t>T4274-2016</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《局部排风设施控制风速检测与评估技术规范》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left"/>
              <w:rPr>
                <w:rFonts w:ascii="宋体" w:hAnsi="宋体" w:eastAsia="宋体"/>
                <w:szCs w:val="21"/>
              </w:rPr>
            </w:pPr>
            <w:r>
              <w:rPr>
                <w:rFonts w:hint="eastAsia" w:ascii="宋体" w:hAnsi="宋体" w:eastAsia="宋体"/>
                <w:szCs w:val="21"/>
              </w:rPr>
              <w:t>HJ 971-2018</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《排污许可证申请与核发技术规范 汽车制造业》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GB50093</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《自动化仪表工程施工及验收规范》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DB 37T 3535-2019</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《固定污染源废气监测点位设置技术规范》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GB15562.1-1995</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color w:val="000000"/>
                <w:szCs w:val="21"/>
              </w:rPr>
              <w:t>《环境保护图形标志</w:t>
            </w:r>
            <w:r>
              <w:rPr>
                <w:rFonts w:ascii="宋体" w:hAnsi="宋体" w:eastAsia="宋体"/>
                <w:color w:val="000000"/>
                <w:szCs w:val="21"/>
              </w:rPr>
              <w:t>--排放口（源）》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HJ/T 352-2007</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《环境污染源自动监控信息传输、交换技术规范》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HJ/T 373-2007</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《固定污染源监测质量保证与质量控制技术规范（试行）》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HJ/T 397-2007</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《固定源废气监测技术规范》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 3095</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《环境空气质量标准》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hint="eastAsia" w:ascii="宋体" w:hAnsi="宋体" w:eastAsia="宋体"/>
                <w:szCs w:val="21"/>
              </w:rPr>
              <w:t>GB50054-2011</w:t>
            </w:r>
          </w:p>
        </w:tc>
        <w:tc>
          <w:tcPr>
            <w:tcW w:w="6925" w:type="dxa"/>
            <w:vAlign w:val="center"/>
          </w:tcPr>
          <w:p>
            <w:pPr>
              <w:rPr>
                <w:rFonts w:ascii="宋体" w:hAnsi="宋体" w:eastAsia="宋体"/>
                <w:szCs w:val="21"/>
              </w:rPr>
            </w:pPr>
            <w:r>
              <w:rPr>
                <w:rFonts w:hint="eastAsia" w:ascii="宋体" w:hAnsi="宋体" w:eastAsia="宋体"/>
                <w:szCs w:val="21"/>
              </w:rPr>
              <w:t>《低压配电设计规范》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 12519</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《分析仪器通用技术条件》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hint="eastAsia" w:ascii="宋体" w:hAnsi="宋体" w:eastAsia="宋体"/>
                <w:szCs w:val="21"/>
              </w:rPr>
              <w:t>GB50019-2003</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《采暖通风与空气调节设计规范》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 50236-2011</w:t>
            </w:r>
          </w:p>
        </w:tc>
        <w:tc>
          <w:tcPr>
            <w:tcW w:w="6925" w:type="dxa"/>
            <w:vAlign w:val="center"/>
          </w:tcPr>
          <w:p>
            <w:pPr>
              <w:adjustRightInd w:val="0"/>
              <w:snapToGrid w:val="0"/>
              <w:jc w:val="left"/>
              <w:rPr>
                <w:rFonts w:ascii="宋体" w:hAnsi="宋体" w:eastAsia="宋体"/>
                <w:szCs w:val="21"/>
              </w:rPr>
            </w:pPr>
            <w:r>
              <w:rPr>
                <w:rFonts w:ascii="宋体" w:hAnsi="宋体" w:eastAsia="宋体"/>
                <w:szCs w:val="21"/>
              </w:rPr>
              <w:t>《现场设备、工业管道焊接工程施工及验收规范</w:t>
            </w:r>
            <w:r>
              <w:rPr>
                <w:rFonts w:hint="eastAsia" w:ascii="宋体" w:hAnsi="宋体" w:eastAsia="宋体"/>
                <w:szCs w:val="21"/>
              </w:rPr>
              <w:t>》</w:t>
            </w:r>
            <w:r>
              <w:rPr>
                <w:rFonts w:ascii="宋体" w:hAnsi="宋体" w:eastAsia="宋体"/>
                <w:szCs w:val="21"/>
              </w:rPr>
              <w:t>中的Ⅲ级焊缝质量标准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GB/T12605</w:t>
            </w:r>
          </w:p>
        </w:tc>
        <w:tc>
          <w:tcPr>
            <w:tcW w:w="6925" w:type="dxa"/>
            <w:vAlign w:val="center"/>
          </w:tcPr>
          <w:p>
            <w:pPr>
              <w:pStyle w:val="14"/>
              <w:rPr>
                <w:rFonts w:eastAsia="宋体"/>
                <w:color w:val="auto"/>
                <w:sz w:val="21"/>
                <w:szCs w:val="21"/>
              </w:rPr>
            </w:pPr>
            <w:r>
              <w:rPr>
                <w:rFonts w:eastAsia="宋体"/>
                <w:color w:val="auto"/>
                <w:sz w:val="21"/>
                <w:szCs w:val="21"/>
              </w:rPr>
              <w:t>《无损检测金属管道熔化焊环向对接接头射线照相检测方法》中的Ⅲ级焊缝质量标准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GB50017-2003</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《钢结构设计规范》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GB50007-2011</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《建筑地基基础设计规范》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JGJ181-2002</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《建筑钢结构焊接规程》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02J401</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《钢梯标准设计图集》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ascii="宋体" w:hAnsi="宋体" w:eastAsia="宋体"/>
                <w:szCs w:val="21"/>
              </w:rPr>
              <w:t>GB/T31255-2014</w:t>
            </w:r>
          </w:p>
        </w:tc>
        <w:tc>
          <w:tcPr>
            <w:tcW w:w="6925" w:type="dxa"/>
            <w:vAlign w:val="center"/>
          </w:tcPr>
          <w:p>
            <w:pPr>
              <w:adjustRightInd w:val="0"/>
              <w:snapToGrid w:val="0"/>
              <w:jc w:val="left"/>
              <w:rPr>
                <w:rFonts w:ascii="宋体" w:hAnsi="宋体" w:eastAsia="宋体"/>
                <w:szCs w:val="21"/>
              </w:rPr>
            </w:pPr>
            <w:r>
              <w:rPr>
                <w:rFonts w:hint="eastAsia" w:ascii="宋体" w:hAnsi="宋体" w:eastAsia="宋体"/>
                <w:szCs w:val="21"/>
              </w:rPr>
              <w:t xml:space="preserve">《机械安全工业楼梯工作平台和通道的安全设计规范》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hint="eastAsia" w:ascii="宋体" w:hAnsi="宋体" w:eastAsia="宋体"/>
                <w:szCs w:val="21"/>
              </w:rPr>
              <w:t>GB 4053.1</w:t>
            </w:r>
          </w:p>
        </w:tc>
        <w:tc>
          <w:tcPr>
            <w:tcW w:w="6925" w:type="dxa"/>
            <w:vAlign w:val="center"/>
          </w:tcPr>
          <w:p>
            <w:pPr>
              <w:autoSpaceDE w:val="0"/>
              <w:autoSpaceDN w:val="0"/>
              <w:adjustRightInd w:val="0"/>
              <w:jc w:val="left"/>
              <w:rPr>
                <w:rFonts w:ascii="宋体" w:hAnsi="宋体" w:eastAsia="宋体"/>
                <w:szCs w:val="21"/>
              </w:rPr>
            </w:pPr>
            <w:r>
              <w:rPr>
                <w:rFonts w:hint="eastAsia" w:ascii="宋体" w:hAnsi="宋体" w:eastAsia="宋体"/>
                <w:szCs w:val="21"/>
              </w:rPr>
              <w:t>固定式钢梯及平台安全要求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1" w:type="dxa"/>
            <w:vAlign w:val="center"/>
          </w:tcPr>
          <w:p>
            <w:pPr>
              <w:adjustRightInd w:val="0"/>
              <w:snapToGrid w:val="0"/>
              <w:jc w:val="left"/>
              <w:rPr>
                <w:rFonts w:ascii="宋体" w:hAnsi="宋体" w:eastAsia="宋体"/>
                <w:szCs w:val="21"/>
              </w:rPr>
            </w:pPr>
            <w:r>
              <w:rPr>
                <w:rFonts w:hint="eastAsia" w:ascii="宋体" w:hAnsi="宋体" w:eastAsia="宋体"/>
                <w:szCs w:val="21"/>
              </w:rPr>
              <w:t>GB 8196</w:t>
            </w:r>
          </w:p>
        </w:tc>
        <w:tc>
          <w:tcPr>
            <w:tcW w:w="6925" w:type="dxa"/>
            <w:vAlign w:val="center"/>
          </w:tcPr>
          <w:p>
            <w:pPr>
              <w:autoSpaceDE w:val="0"/>
              <w:autoSpaceDN w:val="0"/>
              <w:adjustRightInd w:val="0"/>
              <w:jc w:val="left"/>
              <w:rPr>
                <w:rFonts w:ascii="宋体" w:hAnsi="宋体" w:eastAsia="宋体"/>
                <w:szCs w:val="21"/>
              </w:rPr>
            </w:pPr>
            <w:r>
              <w:rPr>
                <w:rFonts w:hint="eastAsia" w:ascii="宋体" w:hAnsi="宋体" w:eastAsia="宋体"/>
                <w:szCs w:val="21"/>
              </w:rPr>
              <w:t>机械安全 防护装置 固定式和活动式防护装置设计与制造一般要求</w:t>
            </w:r>
          </w:p>
        </w:tc>
      </w:tr>
    </w:tbl>
    <w:p>
      <w:pPr>
        <w:pStyle w:val="6"/>
        <w:spacing w:before="0" w:after="0" w:line="360" w:lineRule="auto"/>
        <w:rPr>
          <w:rFonts w:ascii="宋体" w:hAnsi="宋体"/>
          <w:sz w:val="28"/>
          <w:szCs w:val="28"/>
        </w:rPr>
      </w:pPr>
      <w:r>
        <w:rPr>
          <w:rFonts w:hint="eastAsia" w:ascii="宋体" w:hAnsi="宋体"/>
          <w:b w:val="0"/>
          <w:bCs w:val="0"/>
          <w:sz w:val="24"/>
          <w:szCs w:val="24"/>
        </w:rPr>
        <w:t>备注：以</w:t>
      </w:r>
      <w:r>
        <w:rPr>
          <w:rFonts w:ascii="宋体" w:hAnsi="宋体"/>
          <w:b w:val="0"/>
          <w:bCs w:val="0"/>
          <w:sz w:val="24"/>
          <w:szCs w:val="24"/>
        </w:rPr>
        <w:t>上标准按现行</w:t>
      </w:r>
      <w:r>
        <w:rPr>
          <w:rFonts w:hint="eastAsia" w:ascii="宋体" w:hAnsi="宋体"/>
          <w:b w:val="0"/>
          <w:bCs w:val="0"/>
          <w:sz w:val="24"/>
          <w:szCs w:val="24"/>
        </w:rPr>
        <w:t>最</w:t>
      </w:r>
      <w:r>
        <w:rPr>
          <w:rFonts w:ascii="宋体" w:hAnsi="宋体"/>
          <w:b w:val="0"/>
          <w:bCs w:val="0"/>
          <w:sz w:val="24"/>
          <w:szCs w:val="24"/>
        </w:rPr>
        <w:t>新标准执行。</w:t>
      </w:r>
    </w:p>
    <w:p>
      <w:pPr>
        <w:pStyle w:val="6"/>
        <w:spacing w:before="0" w:after="0" w:line="360" w:lineRule="auto"/>
        <w:rPr>
          <w:rFonts w:ascii="宋体" w:hAnsi="宋体"/>
          <w:b w:val="0"/>
          <w:bCs w:val="0"/>
          <w:sz w:val="24"/>
          <w:szCs w:val="24"/>
        </w:rPr>
      </w:pPr>
      <w:r>
        <w:rPr>
          <w:rFonts w:ascii="宋体" w:hAnsi="宋体"/>
          <w:b w:val="0"/>
          <w:bCs w:val="0"/>
          <w:sz w:val="24"/>
          <w:szCs w:val="24"/>
        </w:rPr>
        <w:t xml:space="preserve">3.4 </w:t>
      </w:r>
      <w:r>
        <w:rPr>
          <w:rFonts w:hint="eastAsia" w:ascii="宋体" w:hAnsi="宋体"/>
          <w:b w:val="0"/>
          <w:bCs w:val="0"/>
          <w:sz w:val="24"/>
          <w:szCs w:val="24"/>
        </w:rPr>
        <w:t>烘干炉废气TNV系统设备技术要求</w:t>
      </w:r>
    </w:p>
    <w:p>
      <w:pPr>
        <w:pStyle w:val="6"/>
        <w:spacing w:before="0" w:after="0" w:line="360" w:lineRule="auto"/>
        <w:rPr>
          <w:rFonts w:ascii="宋体" w:hAnsi="宋体"/>
          <w:b w:val="0"/>
          <w:bCs w:val="0"/>
          <w:sz w:val="24"/>
          <w:szCs w:val="24"/>
        </w:rPr>
      </w:pPr>
      <w:r>
        <w:rPr>
          <w:rFonts w:ascii="宋体" w:hAnsi="宋体"/>
          <w:b w:val="0"/>
          <w:bCs w:val="0"/>
          <w:sz w:val="24"/>
          <w:szCs w:val="24"/>
        </w:rPr>
        <w:t xml:space="preserve">3.4.1 </w:t>
      </w:r>
      <w:r>
        <w:rPr>
          <w:rFonts w:hint="eastAsia" w:ascii="宋体" w:hAnsi="宋体"/>
          <w:b w:val="0"/>
          <w:bCs w:val="0"/>
          <w:sz w:val="24"/>
          <w:szCs w:val="24"/>
        </w:rPr>
        <w:t>工艺选定</w:t>
      </w:r>
    </w:p>
    <w:p>
      <w:pPr>
        <w:pStyle w:val="15"/>
        <w:spacing w:after="156" w:line="360" w:lineRule="auto"/>
        <w:ind w:firstLine="480"/>
        <w:rPr>
          <w:rFonts w:ascii="宋体" w:hAnsi="宋体" w:eastAsia="宋体" w:cs="宋体"/>
          <w:sz w:val="24"/>
          <w:szCs w:val="22"/>
        </w:rPr>
      </w:pPr>
      <w:r>
        <w:rPr>
          <w:rFonts w:hint="eastAsia" w:ascii="宋体" w:hAnsi="宋体" w:eastAsia="宋体" w:cs="宋体"/>
          <w:sz w:val="24"/>
          <w:szCs w:val="22"/>
        </w:rPr>
        <w:t>车间内部的通风管道将废气收集运送到主净化设备中，采用引风机把产生废气部位的气体抽送至TNV炉中，经直接燃烧后高温洁净气体进入换热器将热量交换给待净化废气，待净化废气经过加热后进入TNV炉再进行直接燃烧，如此周而复始循环净化。废气处理效率达9</w:t>
      </w:r>
      <w:r>
        <w:rPr>
          <w:rFonts w:ascii="宋体" w:hAnsi="宋体" w:eastAsia="宋体" w:cs="宋体"/>
          <w:sz w:val="24"/>
          <w:szCs w:val="22"/>
        </w:rPr>
        <w:t>5</w:t>
      </w:r>
      <w:r>
        <w:rPr>
          <w:rFonts w:hint="eastAsia" w:ascii="宋体" w:hAnsi="宋体" w:eastAsia="宋体" w:cs="宋体"/>
          <w:sz w:val="24"/>
          <w:szCs w:val="22"/>
        </w:rPr>
        <w:t>%以上。</w:t>
      </w:r>
    </w:p>
    <w:p>
      <w:pPr>
        <w:pStyle w:val="6"/>
        <w:spacing w:before="0" w:after="0" w:line="360" w:lineRule="auto"/>
        <w:rPr>
          <w:rFonts w:ascii="宋体" w:hAnsi="宋体"/>
          <w:b w:val="0"/>
          <w:bCs w:val="0"/>
          <w:sz w:val="24"/>
          <w:szCs w:val="24"/>
        </w:rPr>
      </w:pPr>
      <w:r>
        <w:rPr>
          <w:rFonts w:ascii="宋体" w:hAnsi="宋体"/>
          <w:b w:val="0"/>
          <w:bCs w:val="0"/>
          <w:sz w:val="24"/>
          <w:szCs w:val="24"/>
        </w:rPr>
        <w:t>3.4.2</w:t>
      </w:r>
      <w:r>
        <w:rPr>
          <w:rFonts w:hint="eastAsia" w:ascii="宋体" w:hAnsi="宋体"/>
          <w:b w:val="0"/>
          <w:bCs w:val="0"/>
          <w:sz w:val="24"/>
          <w:szCs w:val="24"/>
        </w:rPr>
        <w:t>系统设计综述：</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416"/>
        <w:gridCol w:w="4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序号</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名称</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技 术 数 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1</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处理风量：</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设计总排风量：</w:t>
            </w:r>
            <w:r>
              <w:rPr>
                <w:rFonts w:ascii="宋体" w:hAnsi="宋体" w:eastAsia="宋体"/>
                <w:sz w:val="24"/>
              </w:rPr>
              <w:t>&lt;</w:t>
            </w:r>
            <w:r>
              <w:rPr>
                <w:rFonts w:hint="eastAsia" w:ascii="宋体" w:hAnsi="宋体" w:eastAsia="宋体" w:cs="宋体"/>
                <w:sz w:val="24"/>
              </w:rPr>
              <w:t>3000m³/h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2</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VOC</w:t>
            </w:r>
            <w:r>
              <w:rPr>
                <w:rFonts w:ascii="宋体" w:hAnsi="宋体" w:eastAsia="宋体" w:cs="宋体"/>
                <w:sz w:val="24"/>
              </w:rPr>
              <w:t>s</w:t>
            </w:r>
            <w:r>
              <w:rPr>
                <w:rFonts w:hint="eastAsia" w:ascii="宋体" w:hAnsi="宋体" w:eastAsia="宋体" w:cs="宋体"/>
                <w:sz w:val="24"/>
              </w:rPr>
              <w:t>来源:</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废气输送管道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3</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VOC</w:t>
            </w:r>
            <w:r>
              <w:rPr>
                <w:rFonts w:ascii="宋体" w:hAnsi="宋体" w:eastAsia="宋体" w:cs="宋体"/>
                <w:sz w:val="24"/>
              </w:rPr>
              <w:t>s</w:t>
            </w:r>
            <w:r>
              <w:rPr>
                <w:rFonts w:hint="eastAsia" w:ascii="宋体" w:hAnsi="宋体" w:eastAsia="宋体" w:cs="宋体"/>
                <w:sz w:val="24"/>
              </w:rPr>
              <w:t>浓度:</w:t>
            </w:r>
          </w:p>
        </w:tc>
        <w:tc>
          <w:tcPr>
            <w:tcW w:w="0" w:type="auto"/>
            <w:shd w:val="clear" w:color="auto" w:fill="auto"/>
            <w:vAlign w:val="center"/>
          </w:tcPr>
          <w:p>
            <w:pPr>
              <w:jc w:val="center"/>
              <w:rPr>
                <w:rFonts w:ascii="宋体" w:hAnsi="宋体" w:eastAsia="宋体" w:cs="宋体"/>
                <w:color w:val="FF0000"/>
                <w:sz w:val="24"/>
              </w:rPr>
            </w:pPr>
            <w:r>
              <w:rPr>
                <w:rFonts w:hint="eastAsia" w:ascii="宋体" w:hAnsi="宋体" w:eastAsia="宋体" w:cs="宋体"/>
                <w:sz w:val="24"/>
              </w:rPr>
              <w:t xml:space="preserve">进口 </w:t>
            </w:r>
            <w:r>
              <w:rPr>
                <w:rFonts w:ascii="宋体" w:hAnsi="宋体" w:eastAsia="宋体" w:cs="宋体"/>
                <w:sz w:val="24"/>
              </w:rPr>
              <w:t>&lt;100</w:t>
            </w:r>
            <w:r>
              <w:rPr>
                <w:rFonts w:hint="eastAsia" w:ascii="宋体" w:hAnsi="宋体" w:eastAsia="宋体" w:cs="宋体"/>
                <w:sz w:val="24"/>
              </w:rPr>
              <w:t>mg/m³(预估值，以实测为准)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4</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废气温度:</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sz w:val="24"/>
              </w:rPr>
              <w:t>180-200℃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5</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废气湿度：</w:t>
            </w:r>
          </w:p>
        </w:tc>
        <w:tc>
          <w:tcPr>
            <w:tcW w:w="0" w:type="auto"/>
            <w:shd w:val="clear" w:color="auto" w:fill="auto"/>
            <w:vAlign w:val="center"/>
          </w:tcPr>
          <w:p>
            <w:pPr>
              <w:jc w:val="center"/>
              <w:rPr>
                <w:rFonts w:ascii="宋体" w:hAnsi="宋体" w:eastAsia="宋体" w:cs="宋体"/>
                <w:sz w:val="24"/>
              </w:rPr>
            </w:pPr>
            <w:r>
              <w:rPr>
                <w:rFonts w:hint="eastAsia" w:ascii="宋体" w:hAnsi="宋体" w:eastAsia="宋体" w:cs="宋体"/>
                <w:sz w:val="24"/>
              </w:rPr>
              <w:t>≈45%</w:t>
            </w:r>
          </w:p>
        </w:tc>
      </w:tr>
    </w:tbl>
    <w:p>
      <w:pPr>
        <w:spacing w:line="360" w:lineRule="auto"/>
        <w:ind w:firstLine="360" w:firstLineChars="150"/>
        <w:rPr>
          <w:rFonts w:ascii="宋体" w:hAnsi="宋体" w:eastAsia="宋体" w:cs="宋体"/>
          <w:sz w:val="24"/>
        </w:rPr>
      </w:pPr>
      <w:r>
        <w:rPr>
          <w:rFonts w:hint="eastAsia" w:ascii="宋体" w:hAnsi="宋体" w:eastAsia="宋体" w:cs="宋体"/>
          <w:sz w:val="24"/>
        </w:rPr>
        <w:t>废气经风机抽出，在管道进入风机前加装新风阀门，用于炉内吹扫。炉内压力过大或故障时燃烧机停止工作，炉温下降，废气经炉体直接排出，故障排除后将废气阀关闭新风阀打开，3-5min时间将炉内废气排空，炉内空气排空后开启燃烧器进行升温，温度升至760℃后将废气阀打开新风阀关闭，TNV炉进入正常工作状态。</w:t>
      </w:r>
    </w:p>
    <w:p>
      <w:pPr>
        <w:pStyle w:val="15"/>
        <w:spacing w:after="156" w:line="360" w:lineRule="auto"/>
        <w:rPr>
          <w:rFonts w:ascii="宋体" w:hAnsi="宋体" w:eastAsia="宋体" w:cs="宋体"/>
          <w:sz w:val="24"/>
          <w:szCs w:val="22"/>
        </w:rPr>
      </w:pPr>
      <w:r>
        <w:rPr>
          <w:rFonts w:hint="eastAsia" w:ascii="宋体" w:hAnsi="宋体" w:eastAsia="宋体" w:cs="宋体"/>
          <w:sz w:val="24"/>
          <w:szCs w:val="22"/>
        </w:rPr>
        <w:t>安全联动系统：</w:t>
      </w:r>
    </w:p>
    <w:p>
      <w:pPr>
        <w:pStyle w:val="15"/>
        <w:spacing w:after="156" w:line="360" w:lineRule="auto"/>
        <w:ind w:firstLine="480" w:firstLineChars="200"/>
        <w:rPr>
          <w:rFonts w:ascii="宋体" w:hAnsi="宋体" w:eastAsia="宋体" w:cs="宋体"/>
          <w:sz w:val="24"/>
          <w:szCs w:val="22"/>
        </w:rPr>
      </w:pPr>
      <w:r>
        <w:rPr>
          <w:rFonts w:hint="eastAsia" w:ascii="宋体" w:hAnsi="宋体" w:eastAsia="宋体" w:cs="宋体"/>
          <w:sz w:val="24"/>
          <w:szCs w:val="22"/>
        </w:rPr>
        <w:t>在设备安装场所安装可燃气体浓度检测仪，当检测到有可燃气体泄露时停止系统工作，进气管道上加装隔爆阀，炉体上安装泄爆片，燃烧机供气系统安装二级调压阀，稳定控制供气压力，炉上装有温度及压力传感器，当检测到炉内压力或温度超出设定报警值时，P</w:t>
      </w:r>
      <w:r>
        <w:rPr>
          <w:rFonts w:ascii="宋体" w:hAnsi="宋体" w:eastAsia="宋体" w:cs="宋体"/>
          <w:sz w:val="24"/>
          <w:szCs w:val="22"/>
        </w:rPr>
        <w:t>LC</w:t>
      </w:r>
      <w:r>
        <w:rPr>
          <w:rFonts w:hint="eastAsia" w:ascii="宋体" w:hAnsi="宋体" w:eastAsia="宋体" w:cs="宋体"/>
          <w:sz w:val="24"/>
          <w:szCs w:val="22"/>
        </w:rPr>
        <w:t>输出信号，控制风机及阀门做出联动反应，保证炉内温度及压力平稳，降低闪爆风险。</w:t>
      </w:r>
    </w:p>
    <w:p>
      <w:pPr>
        <w:pStyle w:val="6"/>
        <w:spacing w:before="0" w:after="0" w:line="360" w:lineRule="auto"/>
        <w:rPr>
          <w:rFonts w:ascii="宋体" w:hAnsi="宋体"/>
          <w:b w:val="0"/>
          <w:bCs w:val="0"/>
          <w:sz w:val="24"/>
          <w:szCs w:val="24"/>
        </w:rPr>
      </w:pPr>
      <w:r>
        <w:rPr>
          <w:rFonts w:ascii="宋体" w:hAnsi="宋体"/>
          <w:b w:val="0"/>
          <w:bCs w:val="0"/>
          <w:sz w:val="24"/>
          <w:szCs w:val="24"/>
        </w:rPr>
        <w:t>3.4.3</w:t>
      </w:r>
      <w:r>
        <w:rPr>
          <w:rFonts w:hint="eastAsia" w:ascii="宋体" w:hAnsi="宋体"/>
          <w:b w:val="0"/>
          <w:bCs w:val="0"/>
          <w:sz w:val="24"/>
          <w:szCs w:val="24"/>
        </w:rPr>
        <w:t>工艺流程图：</w:t>
      </w:r>
    </w:p>
    <w:p>
      <w:pPr>
        <w:pStyle w:val="15"/>
        <w:spacing w:after="156"/>
      </w:pPr>
      <w:r>
        <w:rPr>
          <w:rFonts w:hint="eastAsia" w:cs="宋体"/>
          <w:spacing w:val="-6"/>
        </w:rPr>
        <w:drawing>
          <wp:inline distT="0" distB="0" distL="114300" distR="114300">
            <wp:extent cx="5143500" cy="1416685"/>
            <wp:effectExtent l="0" t="0" r="0" b="12065"/>
            <wp:docPr id="31" name="图片 31" descr="183aa41926c41795e1f24e7bc4ee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83aa41926c41795e1f24e7bc4ee387"/>
                    <pic:cNvPicPr>
                      <a:picLocks noChangeAspect="1"/>
                    </pic:cNvPicPr>
                  </pic:nvPicPr>
                  <pic:blipFill>
                    <a:blip r:embed="rId39"/>
                    <a:srcRect t="58221"/>
                    <a:stretch>
                      <a:fillRect/>
                    </a:stretch>
                  </pic:blipFill>
                  <pic:spPr>
                    <a:xfrm>
                      <a:off x="0" y="0"/>
                      <a:ext cx="5143500" cy="1416685"/>
                    </a:xfrm>
                    <a:prstGeom prst="rect">
                      <a:avLst/>
                    </a:prstGeom>
                  </pic:spPr>
                </pic:pic>
              </a:graphicData>
            </a:graphic>
          </wp:inline>
        </w:drawing>
      </w:r>
      <w:bookmarkStart w:id="50" w:name="_Toc29419"/>
      <w:bookmarkStart w:id="51" w:name="_Toc2981"/>
    </w:p>
    <w:p>
      <w:pPr>
        <w:pStyle w:val="15"/>
        <w:spacing w:after="156"/>
        <w:jc w:val="center"/>
        <w:rPr>
          <w:rFonts w:cs="宋体"/>
          <w:spacing w:val="-6"/>
        </w:rPr>
      </w:pPr>
      <w:r>
        <w:rPr>
          <w:rFonts w:hint="eastAsia"/>
        </w:rPr>
        <w:t>系统效果图</w:t>
      </w:r>
      <w:bookmarkEnd w:id="50"/>
      <w:bookmarkEnd w:id="51"/>
    </w:p>
    <w:p>
      <w:pPr>
        <w:pStyle w:val="15"/>
        <w:spacing w:after="156"/>
        <w:jc w:val="center"/>
      </w:pPr>
      <w:r>
        <mc:AlternateContent>
          <mc:Choice Requires="wps">
            <w:drawing>
              <wp:anchor distT="0" distB="0" distL="114300" distR="114300" simplePos="0" relativeHeight="251661312" behindDoc="0" locked="0" layoutInCell="1" allowOverlap="1">
                <wp:simplePos x="0" y="0"/>
                <wp:positionH relativeFrom="column">
                  <wp:posOffset>1666875</wp:posOffset>
                </wp:positionH>
                <wp:positionV relativeFrom="paragraph">
                  <wp:posOffset>538480</wp:posOffset>
                </wp:positionV>
                <wp:extent cx="914400" cy="690245"/>
                <wp:effectExtent l="6350" t="6350" r="12700" b="8255"/>
                <wp:wrapNone/>
                <wp:docPr id="32" name="圆角矩形 32"/>
                <wp:cNvGraphicFramePr/>
                <a:graphic xmlns:a="http://schemas.openxmlformats.org/drawingml/2006/main">
                  <a:graphicData uri="http://schemas.microsoft.com/office/word/2010/wordprocessingShape">
                    <wps:wsp>
                      <wps:cNvSpPr/>
                      <wps:spPr>
                        <a:xfrm>
                          <a:off x="0" y="0"/>
                          <a:ext cx="914400" cy="690562"/>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废气排放阀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1.25pt;margin-top:42.4pt;height:54.35pt;width:72pt;z-index:251661312;v-text-anchor:middle;mso-width-relative:page;mso-height-relative:page;" fillcolor="#FFFFFF [3201]" filled="t" stroked="t" coordsize="21600,21600" arcsize="0.166666666666667" o:gfxdata="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90Hkz1wAAAAoBAAAP&#10;AAAAAAAAAAEAIAAAACIAAABkcnMvZG93bnJldi54bWxQSwECFAAUAAAACACHTuJAa5rMX4sCAAAL&#10;BQAADgAAAAAAAAABACAAAAAmAQAAZHJzL2Uyb0RvYy54bWxQSwUGAAAAAAYABgBZAQAAIwYAAAAA&#10;">
                <v:fill on="t" focussize="0,0"/>
                <v:stroke weight="1pt" color="#70AD47 [3209]" miterlimit="8" joinstyle="miter"/>
                <v:imagedata o:title=""/>
                <o:lock v:ext="edit" aspectratio="f"/>
                <v:textbox>
                  <w:txbxContent>
                    <w:p>
                      <w:pPr>
                        <w:jc w:val="center"/>
                      </w:pPr>
                      <w:r>
                        <w:rPr>
                          <w:rFonts w:hint="eastAsia"/>
                        </w:rPr>
                        <w:t>废气排放阀</w:t>
                      </w:r>
                    </w:p>
                  </w:txbxContent>
                </v:textbox>
              </v:round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4615180</wp:posOffset>
                </wp:positionH>
                <wp:positionV relativeFrom="paragraph">
                  <wp:posOffset>114935</wp:posOffset>
                </wp:positionV>
                <wp:extent cx="1090295" cy="847725"/>
                <wp:effectExtent l="6350" t="6350" r="8255" b="22225"/>
                <wp:wrapNone/>
                <wp:docPr id="33" name="圆角矩形 33"/>
                <wp:cNvGraphicFramePr/>
                <a:graphic xmlns:a="http://schemas.openxmlformats.org/drawingml/2006/main">
                  <a:graphicData uri="http://schemas.microsoft.com/office/word/2010/wordprocessingShape">
                    <wps:wsp>
                      <wps:cNvSpPr/>
                      <wps:spPr>
                        <a:xfrm>
                          <a:off x="0" y="0"/>
                          <a:ext cx="1090295" cy="8477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rPr>
                                <w:rFonts w:eastAsia="宋体"/>
                              </w:rPr>
                            </w:pPr>
                            <w:r>
                              <w:rPr>
                                <w:rFonts w:hint="eastAsia"/>
                              </w:rPr>
                              <w:t>经换热器换热后回用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63.4pt;margin-top:9.05pt;height:66.75pt;width:85.85pt;z-index:251662336;v-text-anchor:middle;mso-width-relative:page;mso-height-relative:page;" fillcolor="#FFFFFF [3201]" filled="t" stroked="t" coordsize="21600,21600" arcsize="0.166666666666667" o:gfxdata="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GQ87MNcAAAAKAQAA&#10;DwAAAAAAAAABACAAAAAiAAAAZHJzL2Rvd25yZXYueG1sUEsBAhQAFAAAAAgAh07iQMmuhRiMAgAA&#10;DAUAAA4AAAAAAAAAAQAgAAAAJgEAAGRycy9lMm9Eb2MueG1sUEsFBgAAAAAGAAYAWQEAACQGAAAA&#10;AA==&#10;">
                <v:fill on="t" focussize="0,0"/>
                <v:stroke weight="1pt" color="#70AD47 [3209]" miterlimit="8" joinstyle="miter"/>
                <v:imagedata o:title=""/>
                <o:lock v:ext="edit" aspectratio="f"/>
                <v:textbox>
                  <w:txbxContent>
                    <w:p>
                      <w:pPr>
                        <w:rPr>
                          <w:rFonts w:eastAsia="宋体"/>
                        </w:rPr>
                      </w:pPr>
                      <w:r>
                        <w:rPr>
                          <w:rFonts w:hint="eastAsia"/>
                        </w:rPr>
                        <w:t>经换热器换热后回用</w:t>
                      </w:r>
                    </w:p>
                  </w:txbxContent>
                </v:textbox>
              </v:round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4441825</wp:posOffset>
                </wp:positionH>
                <wp:positionV relativeFrom="paragraph">
                  <wp:posOffset>975360</wp:posOffset>
                </wp:positionV>
                <wp:extent cx="474345" cy="1061720"/>
                <wp:effectExtent l="13335" t="5715" r="26670" b="18415"/>
                <wp:wrapNone/>
                <wp:docPr id="34" name="直接箭头连接符 34"/>
                <wp:cNvGraphicFramePr/>
                <a:graphic xmlns:a="http://schemas.openxmlformats.org/drawingml/2006/main">
                  <a:graphicData uri="http://schemas.microsoft.com/office/word/2010/wordprocessingShape">
                    <wps:wsp>
                      <wps:cNvCnPr/>
                      <wps:spPr>
                        <a:xfrm flipH="1">
                          <a:off x="0" y="0"/>
                          <a:ext cx="474345" cy="106172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49.75pt;margin-top:76.8pt;height:83.6pt;width:37.35pt;z-index:251664384;mso-width-relative:page;mso-height-relative:page;" filled="f" stroked="t" coordsize="21600,21600" o:gfxdata="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am32gAAAAsBAAAP&#10;AAAAAAAAAAEAIAAAACIAAABkcnMvZG93bnJldi54bWxQSwECFAAUAAAACACHTuJA3H09nxYCAADw&#10;AwAADgAAAAAAAAABACAAAAApAQAAZHJzL2Uyb0RvYy54bWxQSwUGAAAAAAYABgBZAQAAsQUAAAAA&#10;">
                <v:fill on="f" focussize="0,0"/>
                <v:stroke weight="2.25pt" color="#FF0000 [3204]" miterlimit="8" joinstyle="miter" endarrow="open"/>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1504950</wp:posOffset>
                </wp:positionH>
                <wp:positionV relativeFrom="paragraph">
                  <wp:posOffset>1289685</wp:posOffset>
                </wp:positionV>
                <wp:extent cx="429895" cy="1089660"/>
                <wp:effectExtent l="19050" t="5080" r="27305" b="10160"/>
                <wp:wrapNone/>
                <wp:docPr id="35" name="直接箭头连接符 35"/>
                <wp:cNvGraphicFramePr/>
                <a:graphic xmlns:a="http://schemas.openxmlformats.org/drawingml/2006/main">
                  <a:graphicData uri="http://schemas.microsoft.com/office/word/2010/wordprocessingShape">
                    <wps:wsp>
                      <wps:cNvCnPr/>
                      <wps:spPr>
                        <a:xfrm flipH="1">
                          <a:off x="0" y="0"/>
                          <a:ext cx="429895" cy="1089660"/>
                        </a:xfrm>
                        <a:prstGeom prst="straightConnector1">
                          <a:avLst/>
                        </a:prstGeom>
                        <a:noFill/>
                        <a:ln w="28575" cap="flat" cmpd="sng" algn="ctr">
                          <a:solidFill>
                            <a:srgbClr val="FF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118.5pt;margin-top:101.55pt;height:85.8pt;width:33.85pt;z-index:251665408;mso-width-relative:page;mso-height-relative:page;" filled="f" stroked="t" coordsize="21600,21600" o:gfxdata="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DIGNcAAAALAQAA&#10;DwAAAAAAAAABACAAAAAiAAAAZHJzL2Rvd25yZXYueG1sUEsBAhQAFAAAAAgAh07iQPlRIy0aAgAA&#10;/gMAAA4AAAAAAAAAAQAgAAAAJgEAAGRycy9lMm9Eb2MueG1sUEsFBgAAAAAGAAYAWQEAALIFAAAA&#10;AA==&#10;">
                <v:fill on="f" focussize="0,0"/>
                <v:stroke weight="2.25pt" color="#FF0000" miterlimit="8" joinstyle="miter" endarrow="open"/>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2315845</wp:posOffset>
                </wp:positionH>
                <wp:positionV relativeFrom="paragraph">
                  <wp:posOffset>1289685</wp:posOffset>
                </wp:positionV>
                <wp:extent cx="161925" cy="1123315"/>
                <wp:effectExtent l="13970" t="1905" r="52705" b="17780"/>
                <wp:wrapNone/>
                <wp:docPr id="36" name="直接箭头连接符 36"/>
                <wp:cNvGraphicFramePr/>
                <a:graphic xmlns:a="http://schemas.openxmlformats.org/drawingml/2006/main">
                  <a:graphicData uri="http://schemas.microsoft.com/office/word/2010/wordprocessingShape">
                    <wps:wsp>
                      <wps:cNvCnPr/>
                      <wps:spPr>
                        <a:xfrm>
                          <a:off x="0" y="0"/>
                          <a:ext cx="161925" cy="11233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2.35pt;margin-top:101.55pt;height:88.45pt;width:12.75pt;z-index:251663360;mso-width-relative:page;mso-height-relative:page;" filled="f" stroked="t" coordsize="21600,21600" o:gfxdata="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f5FHNsAAAALAQAADwAAAAAAAAAB&#10;ACAAAAAiAAAAZHJzL2Rvd25yZXYueG1sUEsBAhQAFAAAAAgAh07iQEP9hsoNAgAA5gMAAA4AAAAA&#10;AAAAAQAgAAAAKgEAAGRycy9lMm9Eb2MueG1sUEsFBgAAAAAGAAYAWQEAAKkFAAAAAA==&#10;">
                <v:fill on="f" focussize="0,0"/>
                <v:stroke weight="2.25pt" color="#FF0000 [3204]" miterlimit="8" joinstyle="miter" endarrow="open"/>
                <v:imagedata o:title=""/>
                <o:lock v:ext="edit" aspectratio="f"/>
              </v:shape>
            </w:pict>
          </mc:Fallback>
        </mc:AlternateContent>
      </w:r>
      <w:r>
        <w:drawing>
          <wp:inline distT="0" distB="0" distL="0" distR="0">
            <wp:extent cx="5271135" cy="3725545"/>
            <wp:effectExtent l="0" t="0" r="5715" b="8255"/>
            <wp:docPr id="37" name="图片 37" descr="C:\Users\windows\Documents\WXWork\1688854256314253\Cache\Image\2022-04\企业微信截图_16487933139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windows\Documents\WXWork\1688854256314253\Cache\Image\2022-04\企业微信截图_1648793313999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84476" cy="3734755"/>
                    </a:xfrm>
                    <a:prstGeom prst="rect">
                      <a:avLst/>
                    </a:prstGeom>
                    <a:noFill/>
                    <a:ln>
                      <a:noFill/>
                    </a:ln>
                  </pic:spPr>
                </pic:pic>
              </a:graphicData>
            </a:graphic>
          </wp:inline>
        </w:drawing>
      </w:r>
      <w:r>
        <w:rPr>
          <w:rFonts w:hint="eastAsia"/>
        </w:rPr>
        <w:t xml:space="preserve"> </w:t>
      </w:r>
      <w:r>
        <w:t xml:space="preserve">   </w:t>
      </w:r>
    </w:p>
    <w:p>
      <w:pPr>
        <w:pStyle w:val="6"/>
        <w:spacing w:before="0" w:after="0" w:line="360" w:lineRule="auto"/>
        <w:rPr>
          <w:rFonts w:ascii="宋体" w:hAnsi="宋体"/>
          <w:b w:val="0"/>
          <w:bCs w:val="0"/>
          <w:sz w:val="24"/>
          <w:szCs w:val="24"/>
        </w:rPr>
      </w:pPr>
      <w:r>
        <w:rPr>
          <w:rFonts w:ascii="宋体" w:hAnsi="宋体"/>
          <w:b w:val="0"/>
          <w:bCs w:val="0"/>
          <w:sz w:val="24"/>
          <w:szCs w:val="24"/>
        </w:rPr>
        <w:t xml:space="preserve">3.4.4 </w:t>
      </w:r>
      <w:r>
        <w:rPr>
          <w:rFonts w:hint="eastAsia" w:ascii="宋体" w:hAnsi="宋体"/>
          <w:b w:val="0"/>
          <w:bCs w:val="0"/>
          <w:sz w:val="24"/>
          <w:szCs w:val="24"/>
        </w:rPr>
        <w:t>设备选型</w:t>
      </w:r>
    </w:p>
    <w:p>
      <w:pPr>
        <w:pStyle w:val="5"/>
        <w:numPr>
          <w:ilvl w:val="1"/>
          <w:numId w:val="0"/>
        </w:numPr>
        <w:rPr>
          <w:rFonts w:ascii="宋体" w:hAnsi="宋体" w:cstheme="minorBidi"/>
          <w:b w:val="0"/>
          <w:bCs w:val="0"/>
          <w:sz w:val="21"/>
          <w:szCs w:val="21"/>
        </w:rPr>
      </w:pPr>
      <w:bookmarkStart w:id="52" w:name="_Toc11491"/>
      <w:bookmarkStart w:id="53" w:name="_Toc29053"/>
      <w:r>
        <w:rPr>
          <w:rFonts w:hint="eastAsia" w:ascii="宋体" w:hAnsi="宋体" w:cstheme="minorBidi"/>
          <w:b w:val="0"/>
          <w:bCs w:val="0"/>
          <w:sz w:val="21"/>
          <w:szCs w:val="21"/>
        </w:rPr>
        <w:t>风机</w:t>
      </w:r>
      <w:bookmarkEnd w:id="52"/>
      <w:bookmarkEnd w:id="53"/>
      <w:r>
        <w:rPr>
          <w:rFonts w:hint="eastAsia" w:ascii="宋体" w:hAnsi="宋体" w:cstheme="minorBidi"/>
          <w:b w:val="0"/>
          <w:bCs w:val="0"/>
          <w:sz w:val="21"/>
          <w:szCs w:val="21"/>
        </w:rPr>
        <w:t>（供</w:t>
      </w:r>
      <w:r>
        <w:rPr>
          <w:rFonts w:ascii="宋体" w:hAnsi="宋体" w:cstheme="minorBidi"/>
          <w:b w:val="0"/>
          <w:bCs w:val="0"/>
          <w:sz w:val="21"/>
          <w:szCs w:val="21"/>
        </w:rPr>
        <w:t>参考</w:t>
      </w:r>
      <w:r>
        <w:rPr>
          <w:rFonts w:hint="eastAsia" w:ascii="宋体" w:hAnsi="宋体" w:cstheme="minorBidi"/>
          <w:b w:val="0"/>
          <w:bCs w:val="0"/>
          <w:sz w:val="21"/>
          <w:szCs w:val="21"/>
        </w:rPr>
        <w:t>）</w:t>
      </w:r>
    </w:p>
    <w:tbl>
      <w:tblPr>
        <w:tblStyle w:val="38"/>
        <w:tblpPr w:leftFromText="180" w:rightFromText="180" w:vertAnchor="text" w:horzAnchor="margin" w:tblpY="400"/>
        <w:tblOverlap w:val="never"/>
        <w:tblW w:w="9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198"/>
        <w:gridCol w:w="2282"/>
        <w:gridCol w:w="3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2" w:hRule="atLeast"/>
        </w:trPr>
        <w:tc>
          <w:tcPr>
            <w:tcW w:w="3198" w:type="dxa"/>
            <w:shd w:val="clear" w:color="auto" w:fill="auto"/>
            <w:vAlign w:val="center"/>
          </w:tcPr>
          <w:p>
            <w:pPr>
              <w:widowControl/>
              <w:ind w:firstLine="210" w:firstLineChars="100"/>
              <w:jc w:val="center"/>
              <w:textAlignment w:val="center"/>
              <w:rPr>
                <w:rFonts w:ascii="宋体" w:hAnsi="宋体" w:eastAsia="宋体"/>
                <w:szCs w:val="21"/>
              </w:rPr>
            </w:pPr>
          </w:p>
        </w:tc>
        <w:tc>
          <w:tcPr>
            <w:tcW w:w="2282"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单位</w:t>
            </w:r>
          </w:p>
        </w:tc>
        <w:tc>
          <w:tcPr>
            <w:tcW w:w="3958"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8" w:hRule="atLeast"/>
        </w:trPr>
        <w:tc>
          <w:tcPr>
            <w:tcW w:w="3198"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型号</w:t>
            </w:r>
          </w:p>
        </w:tc>
        <w:tc>
          <w:tcPr>
            <w:tcW w:w="2282" w:type="dxa"/>
            <w:shd w:val="clear" w:color="auto" w:fill="auto"/>
            <w:vAlign w:val="center"/>
          </w:tcPr>
          <w:p>
            <w:pPr>
              <w:widowControl/>
              <w:ind w:firstLine="210" w:firstLineChars="100"/>
              <w:jc w:val="center"/>
              <w:textAlignment w:val="center"/>
              <w:rPr>
                <w:rFonts w:ascii="宋体" w:hAnsi="宋体" w:eastAsia="宋体"/>
                <w:szCs w:val="21"/>
              </w:rPr>
            </w:pPr>
            <w:r>
              <w:rPr>
                <w:rFonts w:ascii="宋体" w:hAnsi="宋体" w:eastAsia="宋体"/>
                <w:szCs w:val="21"/>
              </w:rPr>
              <w:t>9-</w:t>
            </w:r>
            <w:r>
              <w:rPr>
                <w:rFonts w:hint="eastAsia" w:ascii="宋体" w:hAnsi="宋体" w:eastAsia="宋体"/>
                <w:szCs w:val="21"/>
              </w:rPr>
              <w:t>26</w:t>
            </w:r>
          </w:p>
        </w:tc>
        <w:tc>
          <w:tcPr>
            <w:tcW w:w="3958"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8" w:hRule="atLeast"/>
        </w:trPr>
        <w:tc>
          <w:tcPr>
            <w:tcW w:w="3198"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风量</w:t>
            </w:r>
          </w:p>
        </w:tc>
        <w:tc>
          <w:tcPr>
            <w:tcW w:w="2282" w:type="dxa"/>
            <w:shd w:val="clear" w:color="auto" w:fill="auto"/>
            <w:vAlign w:val="center"/>
          </w:tcPr>
          <w:p>
            <w:pPr>
              <w:widowControl/>
              <w:ind w:firstLine="240" w:firstLineChars="100"/>
              <w:jc w:val="center"/>
              <w:textAlignment w:val="center"/>
              <w:rPr>
                <w:rFonts w:ascii="宋体" w:hAnsi="宋体" w:eastAsia="宋体"/>
                <w:szCs w:val="21"/>
              </w:rPr>
            </w:pPr>
            <w:r>
              <w:rPr>
                <w:rFonts w:ascii="宋体" w:hAnsi="宋体" w:eastAsia="宋体"/>
                <w:sz w:val="24"/>
              </w:rPr>
              <w:t>m³</w:t>
            </w:r>
            <w:r>
              <w:rPr>
                <w:rFonts w:hint="eastAsia" w:ascii="宋体" w:hAnsi="宋体" w:eastAsia="宋体"/>
                <w:szCs w:val="21"/>
              </w:rPr>
              <w:t>/h</w:t>
            </w:r>
          </w:p>
        </w:tc>
        <w:tc>
          <w:tcPr>
            <w:tcW w:w="3958" w:type="dxa"/>
            <w:shd w:val="clear" w:color="auto" w:fill="auto"/>
            <w:vAlign w:val="center"/>
          </w:tcPr>
          <w:p>
            <w:pPr>
              <w:widowControl/>
              <w:ind w:firstLine="210" w:firstLineChars="100"/>
              <w:jc w:val="center"/>
              <w:textAlignment w:val="center"/>
              <w:rPr>
                <w:rFonts w:ascii="宋体" w:hAnsi="宋体" w:eastAsia="宋体"/>
                <w:szCs w:val="21"/>
              </w:rPr>
            </w:pPr>
            <w:r>
              <w:rPr>
                <w:rFonts w:ascii="宋体" w:hAnsi="宋体" w:eastAsia="宋体"/>
                <w:szCs w:val="21"/>
              </w:rPr>
              <w:t>3</w:t>
            </w:r>
            <w:r>
              <w:rPr>
                <w:rFonts w:hint="eastAsia" w:ascii="宋体" w:hAnsi="宋体" w:eastAsia="宋体"/>
                <w:szCs w:val="21"/>
              </w:rPr>
              <w:t>00</w:t>
            </w:r>
            <w:r>
              <w:rPr>
                <w:rFonts w:ascii="宋体" w:hAnsi="宋体" w:eastAsia="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8" w:hRule="atLeast"/>
        </w:trPr>
        <w:tc>
          <w:tcPr>
            <w:tcW w:w="3198"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全压</w:t>
            </w:r>
          </w:p>
        </w:tc>
        <w:tc>
          <w:tcPr>
            <w:tcW w:w="2282"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Pa</w:t>
            </w:r>
          </w:p>
        </w:tc>
        <w:tc>
          <w:tcPr>
            <w:tcW w:w="3958"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4987-4776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1" w:hRule="atLeast"/>
        </w:trPr>
        <w:tc>
          <w:tcPr>
            <w:tcW w:w="3198"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送风机配电功率</w:t>
            </w:r>
          </w:p>
        </w:tc>
        <w:tc>
          <w:tcPr>
            <w:tcW w:w="2282"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KW</w:t>
            </w:r>
          </w:p>
        </w:tc>
        <w:tc>
          <w:tcPr>
            <w:tcW w:w="3958" w:type="dxa"/>
            <w:shd w:val="clear" w:color="auto" w:fill="auto"/>
            <w:vAlign w:val="center"/>
          </w:tcPr>
          <w:p>
            <w:pPr>
              <w:widowControl/>
              <w:ind w:firstLine="210" w:firstLineChars="100"/>
              <w:jc w:val="center"/>
              <w:textAlignment w:val="center"/>
              <w:rPr>
                <w:rFonts w:ascii="宋体" w:hAnsi="宋体" w:eastAsia="宋体"/>
                <w:szCs w:val="21"/>
              </w:rPr>
            </w:pPr>
            <w:r>
              <w:rPr>
                <w:rFonts w:hint="eastAsia" w:ascii="宋体" w:hAnsi="宋体" w:eastAsia="宋体"/>
                <w:szCs w:val="21"/>
              </w:rPr>
              <w:t>15</w:t>
            </w:r>
          </w:p>
        </w:tc>
      </w:tr>
    </w:tbl>
    <w:p>
      <w:pPr>
        <w:pStyle w:val="76"/>
        <w:spacing w:line="360" w:lineRule="auto"/>
        <w:ind w:firstLine="422"/>
        <w:outlineLvl w:val="3"/>
        <w:rPr>
          <w:rFonts w:ascii="宋体" w:hAnsi="宋体" w:eastAsia="宋体" w:cs="FZZD Extra JW"/>
          <w:b/>
        </w:rPr>
      </w:pPr>
    </w:p>
    <w:p>
      <w:pPr>
        <w:pStyle w:val="5"/>
        <w:numPr>
          <w:ilvl w:val="1"/>
          <w:numId w:val="0"/>
        </w:numPr>
        <w:rPr>
          <w:rFonts w:ascii="宋体" w:hAnsi="宋体" w:cstheme="minorBidi"/>
          <w:b w:val="0"/>
          <w:bCs w:val="0"/>
          <w:sz w:val="21"/>
          <w:szCs w:val="21"/>
        </w:rPr>
      </w:pPr>
      <w:bookmarkStart w:id="54" w:name="_Toc4779"/>
      <w:bookmarkStart w:id="55" w:name="_Toc22354"/>
      <w:r>
        <w:rPr>
          <w:rFonts w:hint="eastAsia" w:ascii="宋体" w:hAnsi="宋体" w:cstheme="minorBidi"/>
          <w:b w:val="0"/>
          <w:bCs w:val="0"/>
          <w:sz w:val="21"/>
          <w:szCs w:val="21"/>
        </w:rPr>
        <w:t>净化装置</w:t>
      </w:r>
      <w:bookmarkEnd w:id="54"/>
      <w:bookmarkEnd w:id="55"/>
    </w:p>
    <w:tbl>
      <w:tblPr>
        <w:tblStyle w:val="38"/>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89"/>
        <w:gridCol w:w="3706"/>
        <w:gridCol w:w="869"/>
        <w:gridCol w:w="842"/>
        <w:gridCol w:w="91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4" w:hRule="atLeast"/>
          <w:jc w:val="center"/>
        </w:trPr>
        <w:tc>
          <w:tcPr>
            <w:tcW w:w="9436" w:type="dxa"/>
            <w:gridSpan w:val="6"/>
            <w:shd w:val="clear" w:color="auto" w:fill="auto"/>
            <w:vAlign w:val="center"/>
          </w:tcPr>
          <w:p>
            <w:pPr>
              <w:widowControl/>
              <w:ind w:firstLine="210" w:firstLineChars="100"/>
              <w:textAlignment w:val="center"/>
              <w:rPr>
                <w:rFonts w:ascii="宋体" w:hAnsi="宋体" w:eastAsia="宋体"/>
                <w:szCs w:val="21"/>
              </w:rPr>
            </w:pPr>
            <w:r>
              <w:rPr>
                <w:rFonts w:hint="eastAsia" w:ascii="宋体" w:hAnsi="宋体" w:eastAsia="宋体"/>
                <w:szCs w:val="21"/>
              </w:rPr>
              <w:t xml:space="preserve">TNV炉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4" w:hRule="atLeast"/>
          <w:jc w:val="center"/>
        </w:trPr>
        <w:tc>
          <w:tcPr>
            <w:tcW w:w="1589" w:type="dxa"/>
            <w:vMerge w:val="restart"/>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型号</w:t>
            </w:r>
          </w:p>
        </w:tc>
        <w:tc>
          <w:tcPr>
            <w:tcW w:w="3706" w:type="dxa"/>
            <w:vMerge w:val="restart"/>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处理风量(m³/h）</w:t>
            </w:r>
          </w:p>
        </w:tc>
        <w:tc>
          <w:tcPr>
            <w:tcW w:w="2626" w:type="dxa"/>
            <w:gridSpan w:val="3"/>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外形尺寸（mm）</w:t>
            </w:r>
          </w:p>
        </w:tc>
        <w:tc>
          <w:tcPr>
            <w:tcW w:w="1515" w:type="dxa"/>
            <w:vMerge w:val="restart"/>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4" w:hRule="atLeast"/>
          <w:jc w:val="center"/>
        </w:trPr>
        <w:tc>
          <w:tcPr>
            <w:tcW w:w="1589" w:type="dxa"/>
            <w:vMerge w:val="continue"/>
            <w:shd w:val="clear" w:color="auto" w:fill="auto"/>
            <w:vAlign w:val="center"/>
          </w:tcPr>
          <w:p>
            <w:pPr>
              <w:jc w:val="center"/>
              <w:rPr>
                <w:rFonts w:ascii="宋体" w:hAnsi="宋体" w:eastAsia="宋体"/>
                <w:szCs w:val="21"/>
              </w:rPr>
            </w:pPr>
          </w:p>
        </w:tc>
        <w:tc>
          <w:tcPr>
            <w:tcW w:w="3706" w:type="dxa"/>
            <w:vMerge w:val="continue"/>
            <w:shd w:val="clear" w:color="auto" w:fill="auto"/>
            <w:vAlign w:val="center"/>
          </w:tcPr>
          <w:p>
            <w:pPr>
              <w:jc w:val="center"/>
              <w:rPr>
                <w:rFonts w:ascii="宋体" w:hAnsi="宋体" w:eastAsia="宋体"/>
                <w:szCs w:val="21"/>
              </w:rPr>
            </w:pPr>
          </w:p>
        </w:tc>
        <w:tc>
          <w:tcPr>
            <w:tcW w:w="869" w:type="dxa"/>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长</w:t>
            </w:r>
          </w:p>
        </w:tc>
        <w:tc>
          <w:tcPr>
            <w:tcW w:w="842" w:type="dxa"/>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宽</w:t>
            </w:r>
          </w:p>
        </w:tc>
        <w:tc>
          <w:tcPr>
            <w:tcW w:w="915" w:type="dxa"/>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高</w:t>
            </w:r>
          </w:p>
        </w:tc>
        <w:tc>
          <w:tcPr>
            <w:tcW w:w="1515" w:type="dxa"/>
            <w:vMerge w:val="continue"/>
            <w:shd w:val="clear" w:color="auto" w:fill="auto"/>
            <w:vAlign w:val="center"/>
          </w:tcPr>
          <w:p>
            <w:pPr>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1" w:hRule="atLeast"/>
          <w:jc w:val="center"/>
        </w:trPr>
        <w:tc>
          <w:tcPr>
            <w:tcW w:w="1589" w:type="dxa"/>
            <w:shd w:val="clear" w:color="auto" w:fill="auto"/>
            <w:vAlign w:val="center"/>
          </w:tcPr>
          <w:p>
            <w:pPr>
              <w:widowControl/>
              <w:jc w:val="center"/>
              <w:textAlignment w:val="center"/>
              <w:rPr>
                <w:rFonts w:ascii="宋体" w:hAnsi="宋体" w:eastAsia="宋体"/>
                <w:szCs w:val="21"/>
              </w:rPr>
            </w:pPr>
          </w:p>
        </w:tc>
        <w:tc>
          <w:tcPr>
            <w:tcW w:w="3706" w:type="dxa"/>
            <w:shd w:val="clear" w:color="auto" w:fill="auto"/>
            <w:vAlign w:val="center"/>
          </w:tcPr>
          <w:p>
            <w:pPr>
              <w:widowControl/>
              <w:jc w:val="center"/>
              <w:textAlignment w:val="center"/>
              <w:rPr>
                <w:rFonts w:ascii="宋体" w:hAnsi="宋体" w:eastAsia="宋体"/>
                <w:szCs w:val="21"/>
              </w:rPr>
            </w:pPr>
            <w:r>
              <w:rPr>
                <w:rFonts w:ascii="宋体" w:hAnsi="宋体" w:eastAsia="宋体"/>
                <w:szCs w:val="21"/>
              </w:rPr>
              <w:t>3</w:t>
            </w:r>
            <w:r>
              <w:rPr>
                <w:rFonts w:hint="eastAsia" w:ascii="宋体" w:hAnsi="宋体" w:eastAsia="宋体"/>
                <w:szCs w:val="21"/>
              </w:rPr>
              <w:t>000</w:t>
            </w:r>
          </w:p>
        </w:tc>
        <w:tc>
          <w:tcPr>
            <w:tcW w:w="869" w:type="dxa"/>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45</w:t>
            </w:r>
            <w:r>
              <w:rPr>
                <w:rFonts w:ascii="宋体" w:hAnsi="宋体" w:eastAsia="宋体"/>
                <w:szCs w:val="21"/>
              </w:rPr>
              <w:t>00</w:t>
            </w:r>
          </w:p>
        </w:tc>
        <w:tc>
          <w:tcPr>
            <w:tcW w:w="842" w:type="dxa"/>
            <w:shd w:val="clear" w:color="auto" w:fill="auto"/>
            <w:vAlign w:val="center"/>
          </w:tcPr>
          <w:p>
            <w:pPr>
              <w:widowControl/>
              <w:jc w:val="center"/>
              <w:textAlignment w:val="center"/>
              <w:rPr>
                <w:rFonts w:ascii="宋体" w:hAnsi="宋体" w:eastAsia="宋体"/>
                <w:szCs w:val="21"/>
              </w:rPr>
            </w:pPr>
            <w:r>
              <w:rPr>
                <w:rFonts w:ascii="宋体" w:hAnsi="宋体" w:eastAsia="宋体"/>
                <w:szCs w:val="21"/>
              </w:rPr>
              <w:t>1800</w:t>
            </w:r>
          </w:p>
        </w:tc>
        <w:tc>
          <w:tcPr>
            <w:tcW w:w="915" w:type="dxa"/>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2000</w:t>
            </w:r>
          </w:p>
        </w:tc>
        <w:tc>
          <w:tcPr>
            <w:tcW w:w="1515" w:type="dxa"/>
            <w:shd w:val="clear" w:color="auto" w:fill="auto"/>
            <w:vAlign w:val="center"/>
          </w:tcPr>
          <w:p>
            <w:pPr>
              <w:jc w:val="center"/>
              <w:rPr>
                <w:rFonts w:ascii="宋体" w:hAnsi="宋体" w:eastAsia="宋体"/>
                <w:szCs w:val="21"/>
              </w:rPr>
            </w:pPr>
            <w:r>
              <w:rPr>
                <w:rFonts w:hint="eastAsia" w:ascii="宋体" w:hAnsi="宋体" w:eastAsia="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1" w:hRule="atLeast"/>
          <w:jc w:val="center"/>
        </w:trPr>
        <w:tc>
          <w:tcPr>
            <w:tcW w:w="1589" w:type="dxa"/>
            <w:shd w:val="clear" w:color="auto" w:fill="auto"/>
            <w:vAlign w:val="center"/>
          </w:tcPr>
          <w:p>
            <w:pPr>
              <w:widowControl/>
              <w:jc w:val="center"/>
              <w:textAlignment w:val="center"/>
              <w:rPr>
                <w:szCs w:val="21"/>
              </w:rPr>
            </w:pPr>
            <w:r>
              <w:rPr>
                <w:rFonts w:hint="eastAsia" w:ascii="宋体" w:hAnsi="宋体"/>
                <w:szCs w:val="21"/>
              </w:rPr>
              <w:t>备注</w:t>
            </w:r>
          </w:p>
        </w:tc>
        <w:tc>
          <w:tcPr>
            <w:tcW w:w="7847" w:type="dxa"/>
            <w:gridSpan w:val="5"/>
            <w:shd w:val="clear" w:color="auto" w:fill="auto"/>
            <w:vAlign w:val="center"/>
          </w:tcPr>
          <w:p>
            <w:pPr>
              <w:pStyle w:val="33"/>
              <w:widowControl/>
              <w:numPr>
                <w:ilvl w:val="0"/>
                <w:numId w:val="13"/>
              </w:numPr>
              <w:shd w:val="clear" w:color="auto" w:fill="FFFFFF"/>
              <w:autoSpaceDE w:val="0"/>
              <w:autoSpaceDN w:val="0"/>
              <w:adjustRightInd w:val="0"/>
              <w:spacing w:before="100" w:after="100" w:line="315" w:lineRule="atLeast"/>
              <w:jc w:val="left"/>
              <w:rPr>
                <w:sz w:val="21"/>
                <w:szCs w:val="21"/>
              </w:rPr>
            </w:pPr>
            <w:r>
              <w:rPr>
                <w:rFonts w:hint="eastAsia" w:ascii="宋体" w:hAnsi="宋体" w:cstheme="minorBidi"/>
                <w:sz w:val="21"/>
                <w:szCs w:val="21"/>
              </w:rPr>
              <w:t>硅酸铝保温层≥</w:t>
            </w:r>
            <w:r>
              <w:rPr>
                <w:rFonts w:ascii="宋体" w:hAnsi="宋体" w:cstheme="minorBidi"/>
                <w:sz w:val="21"/>
                <w:szCs w:val="21"/>
              </w:rPr>
              <w:t>30</w:t>
            </w:r>
            <w:r>
              <w:rPr>
                <w:rFonts w:hint="eastAsia" w:ascii="宋体" w:hAnsi="宋体" w:cstheme="minorBidi"/>
                <w:sz w:val="21"/>
                <w:szCs w:val="21"/>
              </w:rPr>
              <w:t>0mm</w:t>
            </w:r>
          </w:p>
          <w:p>
            <w:pPr>
              <w:pStyle w:val="33"/>
              <w:shd w:val="clear" w:color="auto" w:fill="FFFFFF"/>
              <w:rPr>
                <w:sz w:val="21"/>
                <w:szCs w:val="21"/>
              </w:rPr>
            </w:pPr>
            <w:r>
              <w:rPr>
                <w:rFonts w:ascii="宋体" w:hAnsi="宋体" w:cstheme="minorBidi"/>
                <w:sz w:val="21"/>
                <w:szCs w:val="21"/>
              </w:rPr>
              <w:t>2、</w:t>
            </w:r>
            <w:r>
              <w:rPr>
                <w:rFonts w:hint="eastAsia" w:ascii="宋体" w:hAnsi="宋体" w:cstheme="minorBidi"/>
                <w:sz w:val="21"/>
                <w:szCs w:val="21"/>
              </w:rPr>
              <w:t>换热器材质为3</w:t>
            </w:r>
            <w:r>
              <w:rPr>
                <w:rFonts w:ascii="宋体" w:hAnsi="宋体" w:cstheme="minorBidi"/>
                <w:sz w:val="21"/>
                <w:szCs w:val="21"/>
              </w:rPr>
              <w:t>10S</w:t>
            </w:r>
            <w:r>
              <w:rPr>
                <w:rFonts w:hint="eastAsia" w:ascii="宋体" w:hAnsi="宋体" w:cstheme="minorBidi"/>
                <w:sz w:val="21"/>
                <w:szCs w:val="21"/>
              </w:rPr>
              <w:t>不锈钢</w:t>
            </w:r>
            <w:r>
              <w:rPr>
                <w:rFonts w:ascii="宋体" w:hAnsi="宋体" w:cstheme="minorBidi"/>
                <w:sz w:val="21"/>
                <w:szCs w:val="21"/>
              </w:rPr>
              <w:t> </w:t>
            </w:r>
          </w:p>
          <w:p>
            <w:pPr>
              <w:pStyle w:val="33"/>
              <w:shd w:val="clear" w:color="auto" w:fill="FFFFFF"/>
              <w:rPr>
                <w:sz w:val="21"/>
                <w:szCs w:val="21"/>
              </w:rPr>
            </w:pPr>
            <w:r>
              <w:rPr>
                <w:rFonts w:hint="eastAsia" w:ascii="宋体" w:hAnsi="宋体" w:cstheme="minorBidi"/>
                <w:sz w:val="21"/>
                <w:szCs w:val="21"/>
              </w:rPr>
              <w:t>3</w:t>
            </w:r>
            <w:r>
              <w:rPr>
                <w:rFonts w:ascii="宋体" w:hAnsi="宋体" w:cstheme="minorBidi"/>
                <w:sz w:val="21"/>
                <w:szCs w:val="21"/>
              </w:rPr>
              <w:t>、配置差压开关</w:t>
            </w:r>
            <w:r>
              <w:rPr>
                <w:rFonts w:hint="eastAsia" w:ascii="宋体" w:hAnsi="宋体" w:cstheme="minorBidi"/>
                <w:sz w:val="21"/>
                <w:szCs w:val="21"/>
              </w:rPr>
              <w:t>和温度传感器</w:t>
            </w:r>
            <w:r>
              <w:rPr>
                <w:rFonts w:ascii="宋体" w:hAnsi="宋体" w:cstheme="minorBidi"/>
                <w:sz w:val="21"/>
                <w:szCs w:val="21"/>
              </w:rPr>
              <w:t>。 </w:t>
            </w:r>
          </w:p>
        </w:tc>
      </w:tr>
    </w:tbl>
    <w:p>
      <w:pPr>
        <w:pStyle w:val="5"/>
        <w:numPr>
          <w:ilvl w:val="1"/>
          <w:numId w:val="0"/>
        </w:numPr>
        <w:rPr>
          <w:rFonts w:ascii="宋体" w:hAnsi="宋体" w:cstheme="minorBidi"/>
          <w:b w:val="0"/>
          <w:bCs w:val="0"/>
          <w:sz w:val="21"/>
          <w:szCs w:val="21"/>
        </w:rPr>
      </w:pPr>
      <w:bookmarkStart w:id="56" w:name="_Toc17673"/>
    </w:p>
    <w:p>
      <w:pPr>
        <w:pStyle w:val="5"/>
        <w:numPr>
          <w:ilvl w:val="1"/>
          <w:numId w:val="0"/>
        </w:numPr>
        <w:rPr>
          <w:rFonts w:ascii="宋体" w:hAnsi="宋体" w:cstheme="minorBidi"/>
          <w:b w:val="0"/>
          <w:bCs w:val="0"/>
          <w:sz w:val="21"/>
          <w:szCs w:val="21"/>
        </w:rPr>
      </w:pPr>
      <w:r>
        <w:rPr>
          <w:rFonts w:hint="eastAsia" w:ascii="宋体" w:hAnsi="宋体" w:cstheme="minorBidi"/>
          <w:b w:val="0"/>
          <w:bCs w:val="0"/>
          <w:sz w:val="21"/>
          <w:szCs w:val="21"/>
        </w:rPr>
        <w:t>热回收装置</w:t>
      </w:r>
      <w:bookmarkEnd w:id="56"/>
    </w:p>
    <w:tbl>
      <w:tblPr>
        <w:tblStyle w:val="38"/>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89"/>
        <w:gridCol w:w="3706"/>
        <w:gridCol w:w="869"/>
        <w:gridCol w:w="842"/>
        <w:gridCol w:w="91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4" w:hRule="atLeast"/>
          <w:jc w:val="center"/>
        </w:trPr>
        <w:tc>
          <w:tcPr>
            <w:tcW w:w="9436" w:type="dxa"/>
            <w:gridSpan w:val="6"/>
            <w:shd w:val="clear" w:color="auto" w:fill="auto"/>
            <w:vAlign w:val="center"/>
          </w:tcPr>
          <w:p>
            <w:pPr>
              <w:widowControl/>
              <w:ind w:firstLine="210" w:firstLineChars="100"/>
              <w:textAlignment w:val="center"/>
              <w:rPr>
                <w:rFonts w:ascii="宋体" w:hAnsi="宋体" w:eastAsia="宋体"/>
                <w:szCs w:val="21"/>
              </w:rPr>
            </w:pPr>
            <w:r>
              <w:rPr>
                <w:rFonts w:hint="eastAsia" w:ascii="宋体" w:hAnsi="宋体" w:eastAsia="宋体"/>
                <w:szCs w:val="21"/>
              </w:rPr>
              <w:t xml:space="preserve">板壳式换热器（换热介质气换气）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4" w:hRule="atLeast"/>
          <w:jc w:val="center"/>
        </w:trPr>
        <w:tc>
          <w:tcPr>
            <w:tcW w:w="1589" w:type="dxa"/>
            <w:vMerge w:val="restart"/>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型号</w:t>
            </w:r>
          </w:p>
        </w:tc>
        <w:tc>
          <w:tcPr>
            <w:tcW w:w="3706" w:type="dxa"/>
            <w:vMerge w:val="restart"/>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换热面积</w:t>
            </w:r>
            <w:r>
              <w:rPr>
                <w:rFonts w:ascii="宋体" w:hAnsi="宋体" w:eastAsia="宋体"/>
                <w:szCs w:val="21"/>
              </w:rPr>
              <w:t>30</w:t>
            </w:r>
            <w:r>
              <w:rPr>
                <w:rFonts w:hint="eastAsia" w:ascii="宋体" w:hAnsi="宋体" w:eastAsia="宋体"/>
                <w:szCs w:val="21"/>
              </w:rPr>
              <w:t>㎡</w:t>
            </w:r>
          </w:p>
        </w:tc>
        <w:tc>
          <w:tcPr>
            <w:tcW w:w="2626" w:type="dxa"/>
            <w:gridSpan w:val="3"/>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外形尺寸（mm）</w:t>
            </w:r>
          </w:p>
        </w:tc>
        <w:tc>
          <w:tcPr>
            <w:tcW w:w="1515" w:type="dxa"/>
            <w:vMerge w:val="restart"/>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 w:hRule="atLeast"/>
          <w:jc w:val="center"/>
        </w:trPr>
        <w:tc>
          <w:tcPr>
            <w:tcW w:w="1589" w:type="dxa"/>
            <w:vMerge w:val="continue"/>
            <w:shd w:val="clear" w:color="auto" w:fill="auto"/>
            <w:vAlign w:val="center"/>
          </w:tcPr>
          <w:p>
            <w:pPr>
              <w:jc w:val="center"/>
              <w:rPr>
                <w:rFonts w:ascii="宋体" w:hAnsi="宋体" w:eastAsia="宋体"/>
                <w:szCs w:val="21"/>
              </w:rPr>
            </w:pPr>
          </w:p>
        </w:tc>
        <w:tc>
          <w:tcPr>
            <w:tcW w:w="3706" w:type="dxa"/>
            <w:vMerge w:val="continue"/>
            <w:shd w:val="clear" w:color="auto" w:fill="auto"/>
            <w:vAlign w:val="center"/>
          </w:tcPr>
          <w:p>
            <w:pPr>
              <w:jc w:val="center"/>
              <w:rPr>
                <w:rFonts w:ascii="宋体" w:hAnsi="宋体" w:eastAsia="宋体"/>
                <w:szCs w:val="21"/>
              </w:rPr>
            </w:pPr>
          </w:p>
        </w:tc>
        <w:tc>
          <w:tcPr>
            <w:tcW w:w="869" w:type="dxa"/>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长</w:t>
            </w:r>
          </w:p>
        </w:tc>
        <w:tc>
          <w:tcPr>
            <w:tcW w:w="842" w:type="dxa"/>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宽</w:t>
            </w:r>
          </w:p>
        </w:tc>
        <w:tc>
          <w:tcPr>
            <w:tcW w:w="915" w:type="dxa"/>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高</w:t>
            </w:r>
          </w:p>
        </w:tc>
        <w:tc>
          <w:tcPr>
            <w:tcW w:w="1515" w:type="dxa"/>
            <w:vMerge w:val="continue"/>
            <w:shd w:val="clear" w:color="auto" w:fill="auto"/>
            <w:vAlign w:val="center"/>
          </w:tcPr>
          <w:p>
            <w:pPr>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9" w:hRule="atLeast"/>
          <w:jc w:val="center"/>
        </w:trPr>
        <w:tc>
          <w:tcPr>
            <w:tcW w:w="1589" w:type="dxa"/>
            <w:shd w:val="clear" w:color="auto" w:fill="auto"/>
            <w:vAlign w:val="center"/>
          </w:tcPr>
          <w:p>
            <w:pPr>
              <w:widowControl/>
              <w:jc w:val="center"/>
              <w:textAlignment w:val="center"/>
              <w:rPr>
                <w:rFonts w:ascii="宋体" w:hAnsi="宋体" w:eastAsia="宋体"/>
                <w:szCs w:val="21"/>
              </w:rPr>
            </w:pPr>
          </w:p>
        </w:tc>
        <w:tc>
          <w:tcPr>
            <w:tcW w:w="3706" w:type="dxa"/>
            <w:shd w:val="clear" w:color="auto" w:fill="auto"/>
            <w:vAlign w:val="center"/>
          </w:tcPr>
          <w:p>
            <w:pPr>
              <w:widowControl/>
              <w:jc w:val="center"/>
              <w:textAlignment w:val="center"/>
              <w:rPr>
                <w:rFonts w:ascii="宋体" w:hAnsi="宋体" w:eastAsia="宋体"/>
                <w:szCs w:val="21"/>
              </w:rPr>
            </w:pPr>
            <w:r>
              <w:rPr>
                <w:rFonts w:ascii="宋体" w:hAnsi="宋体" w:eastAsia="宋体"/>
                <w:szCs w:val="21"/>
              </w:rPr>
              <w:t>30</w:t>
            </w:r>
            <w:r>
              <w:rPr>
                <w:rFonts w:hint="eastAsia" w:ascii="宋体" w:hAnsi="宋体" w:eastAsia="宋体"/>
                <w:szCs w:val="21"/>
              </w:rPr>
              <w:t>㎡</w:t>
            </w:r>
          </w:p>
        </w:tc>
        <w:tc>
          <w:tcPr>
            <w:tcW w:w="869" w:type="dxa"/>
            <w:shd w:val="clear" w:color="auto" w:fill="auto"/>
            <w:vAlign w:val="center"/>
          </w:tcPr>
          <w:p>
            <w:pPr>
              <w:widowControl/>
              <w:jc w:val="center"/>
              <w:textAlignment w:val="center"/>
              <w:rPr>
                <w:rFonts w:ascii="宋体" w:hAnsi="宋体" w:eastAsia="宋体"/>
                <w:szCs w:val="21"/>
              </w:rPr>
            </w:pPr>
            <w:r>
              <w:rPr>
                <w:rFonts w:ascii="宋体" w:hAnsi="宋体" w:eastAsia="宋体"/>
                <w:szCs w:val="21"/>
              </w:rPr>
              <w:t>1</w:t>
            </w:r>
            <w:r>
              <w:rPr>
                <w:rFonts w:hint="eastAsia" w:ascii="宋体" w:hAnsi="宋体" w:eastAsia="宋体"/>
                <w:szCs w:val="21"/>
              </w:rPr>
              <w:t>5</w:t>
            </w:r>
            <w:r>
              <w:rPr>
                <w:rFonts w:ascii="宋体" w:hAnsi="宋体" w:eastAsia="宋体"/>
                <w:szCs w:val="21"/>
              </w:rPr>
              <w:t>00</w:t>
            </w:r>
          </w:p>
        </w:tc>
        <w:tc>
          <w:tcPr>
            <w:tcW w:w="842" w:type="dxa"/>
            <w:shd w:val="clear" w:color="auto" w:fill="auto"/>
            <w:vAlign w:val="center"/>
          </w:tcPr>
          <w:p>
            <w:pPr>
              <w:widowControl/>
              <w:jc w:val="center"/>
              <w:textAlignment w:val="center"/>
              <w:rPr>
                <w:rFonts w:ascii="宋体" w:hAnsi="宋体" w:eastAsia="宋体"/>
                <w:szCs w:val="21"/>
              </w:rPr>
            </w:pPr>
            <w:r>
              <w:rPr>
                <w:rFonts w:ascii="宋体" w:hAnsi="宋体" w:eastAsia="宋体"/>
                <w:szCs w:val="21"/>
              </w:rPr>
              <w:t>1</w:t>
            </w:r>
            <w:r>
              <w:rPr>
                <w:rFonts w:hint="eastAsia" w:ascii="宋体" w:hAnsi="宋体" w:eastAsia="宋体"/>
                <w:szCs w:val="21"/>
              </w:rPr>
              <w:t>2</w:t>
            </w:r>
            <w:r>
              <w:rPr>
                <w:rFonts w:ascii="宋体" w:hAnsi="宋体" w:eastAsia="宋体"/>
                <w:szCs w:val="21"/>
              </w:rPr>
              <w:t>00</w:t>
            </w:r>
          </w:p>
        </w:tc>
        <w:tc>
          <w:tcPr>
            <w:tcW w:w="915" w:type="dxa"/>
            <w:shd w:val="clear" w:color="auto" w:fill="auto"/>
            <w:vAlign w:val="center"/>
          </w:tcPr>
          <w:p>
            <w:pPr>
              <w:widowControl/>
              <w:jc w:val="center"/>
              <w:textAlignment w:val="center"/>
              <w:rPr>
                <w:rFonts w:ascii="宋体" w:hAnsi="宋体" w:eastAsia="宋体"/>
                <w:szCs w:val="21"/>
              </w:rPr>
            </w:pPr>
            <w:r>
              <w:rPr>
                <w:rFonts w:ascii="宋体" w:hAnsi="宋体" w:eastAsia="宋体"/>
                <w:szCs w:val="21"/>
              </w:rPr>
              <w:t>1</w:t>
            </w:r>
            <w:r>
              <w:rPr>
                <w:rFonts w:hint="eastAsia" w:ascii="宋体" w:hAnsi="宋体" w:eastAsia="宋体"/>
                <w:szCs w:val="21"/>
              </w:rPr>
              <w:t>3</w:t>
            </w:r>
            <w:r>
              <w:rPr>
                <w:rFonts w:ascii="宋体" w:hAnsi="宋体" w:eastAsia="宋体"/>
                <w:szCs w:val="21"/>
              </w:rPr>
              <w:t>00</w:t>
            </w:r>
          </w:p>
        </w:tc>
        <w:tc>
          <w:tcPr>
            <w:tcW w:w="1515" w:type="dxa"/>
            <w:shd w:val="clear" w:color="auto" w:fill="auto"/>
            <w:vAlign w:val="center"/>
          </w:tcPr>
          <w:p>
            <w:pPr>
              <w:jc w:val="center"/>
              <w:rPr>
                <w:rFonts w:ascii="宋体" w:hAnsi="宋体" w:eastAsia="宋体"/>
                <w:szCs w:val="21"/>
              </w:rPr>
            </w:pPr>
            <w:r>
              <w:rPr>
                <w:rFonts w:hint="eastAsia" w:ascii="宋体" w:hAnsi="宋体" w:eastAsia="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1" w:hRule="atLeast"/>
          <w:jc w:val="center"/>
        </w:trPr>
        <w:tc>
          <w:tcPr>
            <w:tcW w:w="1589" w:type="dxa"/>
            <w:shd w:val="clear" w:color="auto" w:fill="auto"/>
            <w:vAlign w:val="center"/>
          </w:tcPr>
          <w:p>
            <w:pPr>
              <w:widowControl/>
              <w:jc w:val="center"/>
              <w:textAlignment w:val="center"/>
              <w:rPr>
                <w:rFonts w:ascii="宋体" w:hAnsi="宋体" w:eastAsia="宋体"/>
                <w:szCs w:val="21"/>
              </w:rPr>
            </w:pPr>
            <w:r>
              <w:rPr>
                <w:rFonts w:hint="eastAsia" w:ascii="宋体" w:hAnsi="宋体" w:eastAsia="宋体"/>
                <w:szCs w:val="21"/>
              </w:rPr>
              <w:t>备注</w:t>
            </w:r>
          </w:p>
        </w:tc>
        <w:tc>
          <w:tcPr>
            <w:tcW w:w="7847" w:type="dxa"/>
            <w:gridSpan w:val="5"/>
            <w:shd w:val="clear" w:color="auto" w:fill="auto"/>
            <w:vAlign w:val="center"/>
          </w:tcPr>
          <w:p>
            <w:pPr>
              <w:pStyle w:val="33"/>
              <w:widowControl/>
              <w:numPr>
                <w:ilvl w:val="0"/>
                <w:numId w:val="14"/>
              </w:numPr>
              <w:shd w:val="clear" w:color="auto" w:fill="FFFFFF"/>
              <w:autoSpaceDE w:val="0"/>
              <w:autoSpaceDN w:val="0"/>
              <w:adjustRightInd w:val="0"/>
              <w:spacing w:before="100" w:after="100" w:line="315" w:lineRule="atLeast"/>
              <w:jc w:val="left"/>
              <w:rPr>
                <w:rFonts w:ascii="宋体" w:hAnsi="宋体" w:cstheme="minorBidi"/>
                <w:sz w:val="21"/>
                <w:szCs w:val="21"/>
              </w:rPr>
            </w:pPr>
            <w:r>
              <w:rPr>
                <w:rFonts w:hint="eastAsia" w:ascii="宋体" w:hAnsi="宋体" w:cstheme="minorBidi"/>
                <w:sz w:val="21"/>
                <w:szCs w:val="21"/>
              </w:rPr>
              <w:t>硅酸铝保温层≥</w:t>
            </w:r>
            <w:r>
              <w:rPr>
                <w:rFonts w:ascii="宋体" w:hAnsi="宋体" w:cstheme="minorBidi"/>
                <w:sz w:val="21"/>
                <w:szCs w:val="21"/>
              </w:rPr>
              <w:t>10</w:t>
            </w:r>
            <w:r>
              <w:rPr>
                <w:rFonts w:hint="eastAsia" w:ascii="宋体" w:hAnsi="宋体" w:cstheme="minorBidi"/>
                <w:sz w:val="21"/>
                <w:szCs w:val="21"/>
              </w:rPr>
              <w:t>0mm</w:t>
            </w:r>
          </w:p>
          <w:p>
            <w:pPr>
              <w:pStyle w:val="33"/>
              <w:shd w:val="clear" w:color="auto" w:fill="FFFFFF"/>
              <w:rPr>
                <w:rFonts w:ascii="宋体" w:hAnsi="宋体" w:cstheme="minorBidi"/>
                <w:sz w:val="21"/>
                <w:szCs w:val="21"/>
              </w:rPr>
            </w:pPr>
            <w:r>
              <w:rPr>
                <w:rFonts w:ascii="宋体" w:hAnsi="宋体" w:cstheme="minorBidi"/>
                <w:sz w:val="21"/>
                <w:szCs w:val="21"/>
              </w:rPr>
              <w:t>2、</w:t>
            </w:r>
            <w:r>
              <w:rPr>
                <w:rFonts w:hint="eastAsia" w:ascii="宋体" w:hAnsi="宋体" w:cstheme="minorBidi"/>
                <w:sz w:val="21"/>
                <w:szCs w:val="21"/>
              </w:rPr>
              <w:t>壳体碳钢，换热器材质为</w:t>
            </w:r>
            <w:r>
              <w:rPr>
                <w:rFonts w:ascii="宋体" w:hAnsi="宋体" w:cstheme="minorBidi"/>
                <w:sz w:val="21"/>
                <w:szCs w:val="21"/>
              </w:rPr>
              <w:t>310S</w:t>
            </w:r>
            <w:r>
              <w:rPr>
                <w:rFonts w:hint="eastAsia" w:ascii="宋体" w:hAnsi="宋体" w:cstheme="minorBidi"/>
                <w:sz w:val="21"/>
                <w:szCs w:val="21"/>
              </w:rPr>
              <w:t>不锈钢</w:t>
            </w:r>
            <w:r>
              <w:rPr>
                <w:rFonts w:ascii="宋体" w:hAnsi="宋体" w:cstheme="minorBidi"/>
                <w:sz w:val="21"/>
                <w:szCs w:val="21"/>
              </w:rPr>
              <w:t> </w:t>
            </w:r>
          </w:p>
          <w:p>
            <w:pPr>
              <w:pStyle w:val="33"/>
              <w:shd w:val="clear" w:color="auto" w:fill="FFFFFF"/>
              <w:rPr>
                <w:rFonts w:ascii="宋体" w:hAnsi="宋体" w:cstheme="minorBidi"/>
                <w:sz w:val="21"/>
                <w:szCs w:val="21"/>
              </w:rPr>
            </w:pPr>
            <w:r>
              <w:rPr>
                <w:rFonts w:hint="eastAsia" w:ascii="宋体" w:hAnsi="宋体" w:cstheme="minorBidi"/>
                <w:sz w:val="21"/>
                <w:szCs w:val="21"/>
              </w:rPr>
              <w:t>3</w:t>
            </w:r>
            <w:r>
              <w:rPr>
                <w:rFonts w:ascii="宋体" w:hAnsi="宋体" w:cstheme="minorBidi"/>
                <w:sz w:val="21"/>
                <w:szCs w:val="21"/>
              </w:rPr>
              <w:t>、配置</w:t>
            </w:r>
            <w:r>
              <w:rPr>
                <w:rFonts w:hint="eastAsia" w:ascii="宋体" w:hAnsi="宋体" w:cstheme="minorBidi"/>
                <w:sz w:val="21"/>
                <w:szCs w:val="21"/>
              </w:rPr>
              <w:t>温度传感器</w:t>
            </w:r>
            <w:r>
              <w:rPr>
                <w:rFonts w:ascii="宋体" w:hAnsi="宋体" w:cstheme="minorBidi"/>
                <w:sz w:val="21"/>
                <w:szCs w:val="21"/>
              </w:rPr>
              <w:t>。 </w:t>
            </w:r>
          </w:p>
        </w:tc>
      </w:tr>
    </w:tbl>
    <w:p>
      <w:pPr>
        <w:pStyle w:val="6"/>
        <w:spacing w:before="0" w:after="0" w:line="360" w:lineRule="auto"/>
        <w:rPr>
          <w:rFonts w:ascii="宋体" w:hAnsi="宋体"/>
          <w:b w:val="0"/>
          <w:bCs w:val="0"/>
          <w:sz w:val="24"/>
          <w:szCs w:val="24"/>
        </w:rPr>
      </w:pPr>
      <w:r>
        <w:rPr>
          <w:rFonts w:ascii="宋体" w:hAnsi="宋体"/>
          <w:b w:val="0"/>
          <w:bCs w:val="0"/>
          <w:sz w:val="24"/>
          <w:szCs w:val="24"/>
        </w:rPr>
        <w:t>3.4.5</w:t>
      </w:r>
      <w:bookmarkStart w:id="57" w:name="_Toc463796831"/>
      <w:bookmarkStart w:id="58" w:name="_Toc3089"/>
      <w:bookmarkStart w:id="59" w:name="_Toc515630133"/>
      <w:r>
        <w:rPr>
          <w:rFonts w:ascii="宋体" w:hAnsi="宋体"/>
          <w:b w:val="0"/>
          <w:bCs w:val="0"/>
          <w:sz w:val="24"/>
          <w:szCs w:val="24"/>
        </w:rPr>
        <w:t>电气系统</w:t>
      </w:r>
      <w:bookmarkEnd w:id="57"/>
      <w:bookmarkEnd w:id="58"/>
      <w:bookmarkEnd w:id="59"/>
    </w:p>
    <w:p>
      <w:pPr>
        <w:spacing w:line="360" w:lineRule="auto"/>
        <w:ind w:firstLine="480"/>
        <w:rPr>
          <w:rFonts w:ascii="宋体" w:hAnsi="宋体" w:eastAsia="宋体" w:cs="宋体"/>
          <w:sz w:val="24"/>
        </w:rPr>
      </w:pPr>
      <w:r>
        <w:rPr>
          <w:rFonts w:ascii="宋体" w:hAnsi="宋体" w:eastAsia="宋体" w:cs="宋体"/>
          <w:sz w:val="24"/>
        </w:rPr>
        <w:t>电气系统包括：电气系统图、电气原理图、IO表、电缆表、电气负荷清单、电气设备布置图等，所有设计符合相关标准、规范及规程。</w:t>
      </w:r>
    </w:p>
    <w:p>
      <w:pPr>
        <w:spacing w:line="360" w:lineRule="auto"/>
        <w:ind w:firstLine="480"/>
        <w:rPr>
          <w:rFonts w:ascii="宋体" w:hAnsi="宋体" w:eastAsia="宋体" w:cs="宋体"/>
          <w:sz w:val="24"/>
        </w:rPr>
      </w:pPr>
      <w:r>
        <w:rPr>
          <w:rFonts w:ascii="宋体" w:hAnsi="宋体" w:eastAsia="宋体" w:cs="宋体"/>
          <w:sz w:val="24"/>
        </w:rPr>
        <w:t>电气系统的设计应确保操作维护人员和设备的安全，系统运行可靠，易于维护、运行和检修。主要部件（重部件）应能方便拆卸、复原和修理，同时考虑相同（或相同等级）设备和部件的互换性。</w:t>
      </w:r>
    </w:p>
    <w:p>
      <w:pPr>
        <w:spacing w:line="360" w:lineRule="auto"/>
        <w:rPr>
          <w:rFonts w:ascii="宋体" w:hAnsi="宋体" w:eastAsia="宋体" w:cs="宋体"/>
          <w:sz w:val="24"/>
        </w:rPr>
      </w:pPr>
      <w:r>
        <w:rPr>
          <w:rFonts w:hint="eastAsia" w:ascii="宋体" w:hAnsi="宋体"/>
          <w:sz w:val="24"/>
          <w:szCs w:val="24"/>
        </w:rPr>
        <w:t>(</w:t>
      </w:r>
      <w:r>
        <w:rPr>
          <w:rFonts w:ascii="宋体" w:hAnsi="宋体"/>
          <w:sz w:val="24"/>
          <w:szCs w:val="24"/>
        </w:rPr>
        <w:t>1)</w:t>
      </w:r>
      <w:r>
        <w:rPr>
          <w:rFonts w:ascii="宋体" w:hAnsi="宋体" w:eastAsia="宋体" w:cs="Times New Roman"/>
          <w:sz w:val="24"/>
          <w:szCs w:val="24"/>
        </w:rPr>
        <w:t>电源配置</w:t>
      </w:r>
    </w:p>
    <w:p>
      <w:pPr>
        <w:spacing w:line="360" w:lineRule="auto"/>
        <w:ind w:firstLine="480"/>
        <w:rPr>
          <w:rFonts w:ascii="宋体" w:hAnsi="宋体" w:eastAsia="宋体" w:cs="宋体"/>
          <w:sz w:val="24"/>
        </w:rPr>
      </w:pPr>
      <w:r>
        <w:rPr>
          <w:rFonts w:ascii="宋体" w:hAnsi="宋体" w:eastAsia="宋体" w:cs="宋体"/>
          <w:sz w:val="24"/>
        </w:rPr>
        <w:t>电源由业主提供，电压等级AC 380V/220V 3相5线接至设备动力柜内，容量需满足设备运行需要并考虑10%的余量；控制路电源采用双电源供电，当市电停电时可备用UPS电源供PLC及阀组继续工作一段时间，以保护</w:t>
      </w:r>
      <w:r>
        <w:rPr>
          <w:rFonts w:hint="eastAsia" w:ascii="宋体" w:hAnsi="宋体" w:eastAsia="宋体" w:cs="宋体"/>
          <w:sz w:val="24"/>
        </w:rPr>
        <w:t>TNV</w:t>
      </w:r>
      <w:r>
        <w:rPr>
          <w:rFonts w:ascii="宋体" w:hAnsi="宋体" w:eastAsia="宋体" w:cs="宋体"/>
          <w:sz w:val="24"/>
        </w:rPr>
        <w:t>系统。</w:t>
      </w:r>
      <w:r>
        <w:rPr>
          <w:rFonts w:hint="eastAsia" w:ascii="宋体" w:hAnsi="宋体" w:eastAsia="宋体" w:cs="宋体"/>
          <w:sz w:val="24"/>
        </w:rPr>
        <w:t>建议ups 容量6kva以上。</w:t>
      </w:r>
    </w:p>
    <w:p>
      <w:pPr>
        <w:spacing w:line="360" w:lineRule="auto"/>
        <w:rPr>
          <w:rFonts w:ascii="宋体" w:hAnsi="宋体" w:eastAsia="宋体" w:cs="宋体"/>
          <w:sz w:val="24"/>
        </w:rPr>
      </w:pPr>
      <w:r>
        <w:rPr>
          <w:rFonts w:hint="eastAsia" w:ascii="宋体" w:hAnsi="宋体"/>
          <w:sz w:val="24"/>
          <w:szCs w:val="24"/>
        </w:rPr>
        <w:t>(</w:t>
      </w:r>
      <w:r>
        <w:rPr>
          <w:rFonts w:ascii="宋体" w:hAnsi="宋体"/>
          <w:sz w:val="24"/>
          <w:szCs w:val="24"/>
        </w:rPr>
        <w:t>2)</w:t>
      </w:r>
      <w:r>
        <w:rPr>
          <w:rFonts w:ascii="宋体" w:hAnsi="宋体" w:eastAsia="宋体" w:cs="宋体"/>
          <w:sz w:val="24"/>
        </w:rPr>
        <w:t>主要设备选型</w:t>
      </w:r>
    </w:p>
    <w:p>
      <w:pPr>
        <w:spacing w:line="360" w:lineRule="auto"/>
        <w:ind w:firstLine="480"/>
        <w:rPr>
          <w:rFonts w:ascii="宋体" w:hAnsi="宋体" w:eastAsia="宋体" w:cs="宋体"/>
          <w:sz w:val="24"/>
        </w:rPr>
      </w:pPr>
      <w:r>
        <w:rPr>
          <w:rFonts w:ascii="宋体" w:hAnsi="宋体" w:eastAsia="宋体" w:cs="宋体"/>
          <w:sz w:val="24"/>
        </w:rPr>
        <w:t>控制柜采用安全可靠、质量可靠的控制柜，柜内断路器、熔断器、热继电器等组合器件作为短路、过载等保护，室外电气防护等级按IP55 设计。</w:t>
      </w:r>
    </w:p>
    <w:p>
      <w:pPr>
        <w:spacing w:line="360" w:lineRule="auto"/>
        <w:rPr>
          <w:rFonts w:ascii="宋体" w:hAnsi="宋体" w:eastAsia="宋体" w:cs="宋体"/>
          <w:sz w:val="24"/>
        </w:rPr>
      </w:pPr>
      <w:r>
        <w:rPr>
          <w:rFonts w:hint="eastAsia" w:ascii="宋体" w:hAnsi="宋体"/>
          <w:sz w:val="24"/>
          <w:szCs w:val="24"/>
        </w:rPr>
        <w:t>(</w:t>
      </w:r>
      <w:r>
        <w:rPr>
          <w:rFonts w:ascii="宋体" w:hAnsi="宋体"/>
          <w:sz w:val="24"/>
          <w:szCs w:val="24"/>
        </w:rPr>
        <w:t>3)</w:t>
      </w:r>
      <w:r>
        <w:rPr>
          <w:rFonts w:ascii="宋体" w:hAnsi="宋体" w:eastAsia="宋体" w:cs="宋体"/>
          <w:sz w:val="24"/>
        </w:rPr>
        <w:t>电缆、电线的选型及铺设</w:t>
      </w:r>
    </w:p>
    <w:p>
      <w:pPr>
        <w:spacing w:line="360" w:lineRule="auto"/>
        <w:ind w:firstLine="480"/>
        <w:rPr>
          <w:rFonts w:ascii="宋体" w:hAnsi="宋体" w:eastAsia="宋体" w:cs="宋体"/>
          <w:sz w:val="24"/>
        </w:rPr>
      </w:pPr>
      <w:r>
        <w:rPr>
          <w:rFonts w:ascii="宋体" w:hAnsi="宋体" w:eastAsia="宋体" w:cs="宋体"/>
          <w:sz w:val="24"/>
        </w:rPr>
        <w:t>电缆、电线采用优质铜芯线缆，阻抗小载流量大；采用热镀锌桥架或镀锌管铺设。</w:t>
      </w:r>
    </w:p>
    <w:p>
      <w:pPr>
        <w:spacing w:line="360" w:lineRule="auto"/>
        <w:rPr>
          <w:rFonts w:ascii="宋体" w:hAnsi="宋体" w:eastAsia="宋体" w:cs="宋体"/>
          <w:sz w:val="24"/>
        </w:rPr>
      </w:pPr>
      <w:r>
        <w:rPr>
          <w:rFonts w:hint="eastAsia" w:ascii="宋体" w:hAnsi="宋体"/>
          <w:sz w:val="24"/>
          <w:szCs w:val="24"/>
        </w:rPr>
        <w:t>(</w:t>
      </w:r>
      <w:r>
        <w:rPr>
          <w:rFonts w:ascii="宋体" w:hAnsi="宋体"/>
          <w:sz w:val="24"/>
          <w:szCs w:val="24"/>
        </w:rPr>
        <w:t>4)</w:t>
      </w:r>
      <w:r>
        <w:rPr>
          <w:rFonts w:ascii="宋体" w:hAnsi="宋体" w:eastAsia="宋体" w:cs="宋体"/>
          <w:sz w:val="24"/>
        </w:rPr>
        <w:t>安全接地、静电防护</w:t>
      </w:r>
    </w:p>
    <w:p>
      <w:pPr>
        <w:spacing w:line="360" w:lineRule="auto"/>
        <w:ind w:firstLine="480"/>
        <w:rPr>
          <w:rFonts w:ascii="宋体" w:hAnsi="宋体" w:eastAsia="宋体" w:cs="宋体"/>
          <w:sz w:val="24"/>
        </w:rPr>
      </w:pPr>
      <w:r>
        <w:rPr>
          <w:rFonts w:ascii="宋体" w:hAnsi="宋体" w:eastAsia="宋体" w:cs="宋体"/>
          <w:sz w:val="24"/>
        </w:rPr>
        <w:t>本工程对电气设备的外壳、插座做良好可靠的接地，接地电阻不大于4欧姆。相关的设备、桥架、管道等均做防静电连接。</w:t>
      </w:r>
    </w:p>
    <w:p>
      <w:pPr>
        <w:pStyle w:val="6"/>
        <w:spacing w:before="0" w:after="0" w:line="360" w:lineRule="auto"/>
        <w:rPr>
          <w:rFonts w:ascii="宋体" w:hAnsi="宋体"/>
          <w:b w:val="0"/>
          <w:bCs w:val="0"/>
          <w:sz w:val="24"/>
          <w:szCs w:val="24"/>
        </w:rPr>
      </w:pPr>
      <w:r>
        <w:rPr>
          <w:rFonts w:ascii="宋体" w:hAnsi="宋体"/>
          <w:b w:val="0"/>
          <w:bCs w:val="0"/>
          <w:sz w:val="24"/>
          <w:szCs w:val="24"/>
        </w:rPr>
        <w:t>3.4.6电气系统仪表及自控系统</w:t>
      </w:r>
    </w:p>
    <w:p>
      <w:pPr>
        <w:spacing w:line="360" w:lineRule="auto"/>
        <w:ind w:firstLine="480"/>
        <w:rPr>
          <w:rFonts w:ascii="宋体" w:hAnsi="宋体" w:eastAsia="宋体" w:cs="宋体"/>
          <w:sz w:val="24"/>
        </w:rPr>
      </w:pPr>
      <w:r>
        <w:rPr>
          <w:rFonts w:ascii="宋体" w:hAnsi="宋体" w:eastAsia="宋体" w:cs="宋体"/>
          <w:sz w:val="24"/>
        </w:rPr>
        <w:t>仪表及控制系统设计主要从安全、可靠和保证</w:t>
      </w:r>
      <w:r>
        <w:rPr>
          <w:rFonts w:hint="eastAsia" w:ascii="宋体" w:hAnsi="宋体" w:eastAsia="宋体" w:cs="宋体"/>
          <w:sz w:val="24"/>
        </w:rPr>
        <w:t>TNV</w:t>
      </w:r>
      <w:r>
        <w:rPr>
          <w:rFonts w:ascii="宋体" w:hAnsi="宋体" w:eastAsia="宋体" w:cs="宋体"/>
          <w:sz w:val="24"/>
        </w:rPr>
        <w:t>装置长期稳定运行等几个方面加以考虑，确保有效地控制</w:t>
      </w:r>
      <w:r>
        <w:rPr>
          <w:rFonts w:hint="eastAsia" w:ascii="宋体" w:hAnsi="宋体" w:eastAsia="宋体" w:cs="宋体"/>
          <w:sz w:val="24"/>
        </w:rPr>
        <w:t>TNV</w:t>
      </w:r>
      <w:r>
        <w:rPr>
          <w:rFonts w:ascii="宋体" w:hAnsi="宋体" w:eastAsia="宋体" w:cs="宋体"/>
          <w:sz w:val="24"/>
        </w:rPr>
        <w:t>装置在主装置正常生产工况下和780℃的反应温度范围条件下安全运行，同时保证被控参数不超过允许值，以达到最佳效果。</w:t>
      </w:r>
    </w:p>
    <w:p>
      <w:pPr>
        <w:spacing w:line="360" w:lineRule="auto"/>
        <w:rPr>
          <w:rFonts w:ascii="宋体" w:hAnsi="宋体" w:eastAsia="宋体" w:cs="宋体"/>
          <w:sz w:val="24"/>
        </w:rPr>
      </w:pPr>
      <w:r>
        <w:rPr>
          <w:rFonts w:ascii="宋体" w:hAnsi="宋体" w:eastAsia="宋体" w:cs="宋体"/>
          <w:sz w:val="24"/>
        </w:rPr>
        <w:t>(1)仪表</w:t>
      </w:r>
    </w:p>
    <w:p>
      <w:pPr>
        <w:pStyle w:val="9"/>
        <w:spacing w:line="360" w:lineRule="auto"/>
        <w:ind w:firstLine="480"/>
        <w:rPr>
          <w:rFonts w:ascii="宋体" w:hAnsi="宋体" w:eastAsia="宋体" w:cs="宋体"/>
          <w:kern w:val="2"/>
          <w:sz w:val="24"/>
          <w:szCs w:val="22"/>
        </w:rPr>
      </w:pPr>
      <w:r>
        <w:rPr>
          <w:rFonts w:ascii="宋体" w:hAnsi="宋体" w:eastAsia="宋体" w:cs="宋体"/>
          <w:kern w:val="2"/>
          <w:sz w:val="24"/>
          <w:szCs w:val="22"/>
        </w:rPr>
        <w:t>仪表和控制设备选择具有最大限度的可用性、可靠性、可控性和可维修性。在规定的运行条件下，所有部件将安全运行并达到使用条件。</w:t>
      </w:r>
    </w:p>
    <w:p>
      <w:pPr>
        <w:pStyle w:val="9"/>
        <w:spacing w:line="360" w:lineRule="auto"/>
        <w:ind w:firstLine="480"/>
        <w:rPr>
          <w:rFonts w:ascii="宋体" w:hAnsi="宋体" w:eastAsia="宋体" w:cs="宋体"/>
          <w:kern w:val="2"/>
          <w:sz w:val="24"/>
          <w:szCs w:val="22"/>
        </w:rPr>
      </w:pPr>
      <w:r>
        <w:rPr>
          <w:rFonts w:ascii="宋体" w:hAnsi="宋体" w:eastAsia="宋体" w:cs="宋体"/>
          <w:kern w:val="2"/>
          <w:sz w:val="24"/>
          <w:szCs w:val="22"/>
        </w:rPr>
        <w:t>为防止电磁干扰，仪表信号电缆采用阻燃屏蔽电缆；现场接线箱至仪表，执行器的电缆选用铠装信号电缆。仪表和控制系统将进行可靠的保护接地和工作接地系统并与电气等电位接地板相连接以确保其长期、安全、可靠运行。</w:t>
      </w:r>
    </w:p>
    <w:p>
      <w:pPr>
        <w:spacing w:line="360" w:lineRule="auto"/>
        <w:rPr>
          <w:rFonts w:ascii="宋体" w:hAnsi="宋体" w:eastAsia="宋体" w:cs="宋体"/>
          <w:sz w:val="24"/>
        </w:rPr>
      </w:pPr>
      <w:r>
        <w:rPr>
          <w:rFonts w:ascii="宋体" w:hAnsi="宋体" w:eastAsia="宋体" w:cs="宋体"/>
          <w:sz w:val="24"/>
        </w:rPr>
        <w:t>(2)控制系统</w:t>
      </w:r>
    </w:p>
    <w:p>
      <w:pPr>
        <w:spacing w:line="360" w:lineRule="auto"/>
        <w:ind w:firstLine="480"/>
        <w:rPr>
          <w:rFonts w:ascii="宋体" w:hAnsi="宋体" w:eastAsia="宋体" w:cs="宋体"/>
          <w:sz w:val="24"/>
        </w:rPr>
      </w:pPr>
      <w:r>
        <w:rPr>
          <w:rFonts w:hint="eastAsia" w:ascii="宋体" w:hAnsi="宋体" w:eastAsia="宋体" w:cs="宋体"/>
          <w:sz w:val="24"/>
        </w:rPr>
        <w:t>建议</w:t>
      </w:r>
      <w:r>
        <w:rPr>
          <w:rFonts w:ascii="宋体" w:hAnsi="宋体" w:eastAsia="宋体" w:cs="宋体"/>
          <w:sz w:val="24"/>
        </w:rPr>
        <w:t>采用成熟可靠的西门子PLC系统进行数据的采集及集中处理；现场柜配置触摸屏人机交互界面，完成现场的流程画面、参数、报警的显示，及控制参数的现场设定功能，同时PLC可通过工业以太网通信协议完成与上位机进行通讯功能，实现设备的远程监控功能。PLC柜内中继采用OMRON、ABB</w:t>
      </w:r>
      <w:r>
        <w:rPr>
          <w:rFonts w:hint="eastAsia" w:ascii="宋体" w:hAnsi="宋体" w:eastAsia="宋体" w:cs="宋体"/>
          <w:sz w:val="24"/>
        </w:rPr>
        <w:t>等同类</w:t>
      </w:r>
      <w:r>
        <w:rPr>
          <w:rFonts w:ascii="宋体" w:hAnsi="宋体" w:eastAsia="宋体" w:cs="宋体"/>
          <w:sz w:val="24"/>
        </w:rPr>
        <w:t>产品，接线端子采用可断开接线端子，PLC柜内I/O点数留10%余量，与PLC相关的外围设备采用符合工程现场要求的，成熟可靠的品牌产品。现场所有仪表控制点接入控制室PLC，PLC可对现场仪表状态进行实时监测。</w:t>
      </w:r>
    </w:p>
    <w:p>
      <w:pPr>
        <w:spacing w:line="360" w:lineRule="auto"/>
        <w:ind w:firstLine="480"/>
        <w:rPr>
          <w:rFonts w:ascii="宋体" w:hAnsi="宋体" w:eastAsia="宋体" w:cs="宋体"/>
          <w:sz w:val="24"/>
        </w:rPr>
      </w:pPr>
      <w:r>
        <w:rPr>
          <w:rFonts w:hint="eastAsia" w:ascii="宋体" w:hAnsi="宋体" w:eastAsia="宋体" w:cs="宋体"/>
          <w:sz w:val="24"/>
        </w:rPr>
        <w:t>TNV</w:t>
      </w:r>
      <w:r>
        <w:rPr>
          <w:rFonts w:ascii="宋体" w:hAnsi="宋体" w:eastAsia="宋体" w:cs="宋体"/>
          <w:sz w:val="24"/>
        </w:rPr>
        <w:t>系统及其辅助系统和单体设备的启/停控制、正常运行的监视和调整、以及异常事故工况的处理等，完全通过</w:t>
      </w:r>
      <w:r>
        <w:rPr>
          <w:rFonts w:hint="eastAsia" w:ascii="宋体" w:hAnsi="宋体" w:eastAsia="宋体" w:cs="宋体"/>
          <w:sz w:val="24"/>
        </w:rPr>
        <w:t>TNV</w:t>
      </w:r>
      <w:r>
        <w:rPr>
          <w:rFonts w:ascii="宋体" w:hAnsi="宋体" w:eastAsia="宋体" w:cs="宋体"/>
          <w:sz w:val="24"/>
        </w:rPr>
        <w:t>_PLC来完成。任何就地操作手段，只作为</w:t>
      </w:r>
      <w:r>
        <w:rPr>
          <w:rFonts w:hint="eastAsia" w:ascii="宋体" w:hAnsi="宋体" w:eastAsia="宋体" w:cs="宋体"/>
          <w:sz w:val="24"/>
        </w:rPr>
        <w:t>TNV</w:t>
      </w:r>
      <w:r>
        <w:rPr>
          <w:rFonts w:ascii="宋体" w:hAnsi="宋体" w:eastAsia="宋体" w:cs="宋体"/>
          <w:sz w:val="24"/>
        </w:rPr>
        <w:t>_PLC故障或就地巡检人员发现事故时的紧急操作手段。就地控制装置与</w:t>
      </w:r>
      <w:r>
        <w:rPr>
          <w:rFonts w:hint="eastAsia" w:ascii="宋体" w:hAnsi="宋体" w:eastAsia="宋体" w:cs="宋体"/>
          <w:sz w:val="24"/>
        </w:rPr>
        <w:t>TNV</w:t>
      </w:r>
      <w:r>
        <w:rPr>
          <w:rFonts w:ascii="宋体" w:hAnsi="宋体" w:eastAsia="宋体" w:cs="宋体"/>
          <w:sz w:val="24"/>
        </w:rPr>
        <w:t>_PLC有足够数量的硬接线及通讯信号接口，以满足可在</w:t>
      </w:r>
      <w:r>
        <w:rPr>
          <w:rFonts w:hint="eastAsia" w:ascii="宋体" w:hAnsi="宋体" w:eastAsia="宋体" w:cs="宋体"/>
          <w:sz w:val="24"/>
        </w:rPr>
        <w:t>TNV</w:t>
      </w:r>
      <w:r>
        <w:rPr>
          <w:rFonts w:ascii="宋体" w:hAnsi="宋体" w:eastAsia="宋体" w:cs="宋体"/>
          <w:sz w:val="24"/>
        </w:rPr>
        <w:t>_PLC上对该设备进行监视和控制。</w:t>
      </w:r>
    </w:p>
    <w:p>
      <w:pPr>
        <w:spacing w:line="360" w:lineRule="auto"/>
        <w:ind w:firstLine="480"/>
        <w:rPr>
          <w:rFonts w:ascii="宋体" w:hAnsi="宋体" w:eastAsia="宋体" w:cs="宋体"/>
          <w:sz w:val="24"/>
        </w:rPr>
      </w:pPr>
      <w:r>
        <w:rPr>
          <w:rFonts w:ascii="宋体" w:hAnsi="宋体" w:eastAsia="宋体" w:cs="宋体"/>
          <w:sz w:val="24"/>
        </w:rPr>
        <w:t>过程量控制方式：所有温度、压力控制点采用闭环PID控制方式，确保过程量控制的平滑变化，避免过程量波动对废气处理效果的影响，最大程度保证系统的处理效果。</w:t>
      </w:r>
    </w:p>
    <w:p>
      <w:pPr>
        <w:spacing w:line="360" w:lineRule="auto"/>
        <w:ind w:firstLine="480"/>
        <w:rPr>
          <w:rFonts w:ascii="宋体" w:hAnsi="宋体" w:eastAsia="宋体" w:cs="宋体"/>
          <w:sz w:val="24"/>
        </w:rPr>
      </w:pPr>
      <w:r>
        <w:rPr>
          <w:rFonts w:ascii="宋体" w:hAnsi="宋体" w:eastAsia="宋体" w:cs="宋体"/>
          <w:sz w:val="24"/>
        </w:rPr>
        <w:t>应急控制程序：当系统发生预报警、轻故障时，发出声光报警信号并于触屏、上位机上显示报警信息，控制系统根据不同的报警启动相应保护程序；中故障时可进行局部停机以最大程度保证设备运行。当系统出现超高温、超高压等重故障时，系统自动切换应急处置程序，以保证生产线的正常运行。</w:t>
      </w:r>
    </w:p>
    <w:p>
      <w:pPr>
        <w:spacing w:line="360" w:lineRule="auto"/>
        <w:ind w:firstLine="480"/>
        <w:rPr>
          <w:rFonts w:ascii="宋体" w:hAnsi="宋体" w:eastAsia="宋体" w:cs="宋体"/>
          <w:sz w:val="24"/>
        </w:rPr>
      </w:pPr>
      <w:r>
        <w:rPr>
          <w:rFonts w:ascii="宋体" w:hAnsi="宋体" w:eastAsia="宋体" w:cs="宋体"/>
          <w:sz w:val="24"/>
        </w:rPr>
        <w:t>数据存储：控制系统自动记录设备运行的相关参数数据，为评估设备的长期运行情况提供可靠的数据基础。数据以SCV格式文件存储，使用办公软件即可进行定制的数据分析。</w:t>
      </w:r>
      <w:r>
        <w:rPr>
          <w:rFonts w:hint="eastAsia" w:ascii="宋体" w:hAnsi="宋体" w:eastAsia="宋体" w:cs="宋体"/>
          <w:sz w:val="24"/>
        </w:rPr>
        <w:t>环保设备所有参数可实时查看，所有数据需保存5年以上。</w:t>
      </w:r>
    </w:p>
    <w:p>
      <w:pPr>
        <w:spacing w:line="360" w:lineRule="auto"/>
        <w:ind w:firstLine="480"/>
        <w:rPr>
          <w:rFonts w:ascii="宋体" w:hAnsi="宋体" w:eastAsia="宋体" w:cs="宋体"/>
          <w:sz w:val="24"/>
        </w:rPr>
      </w:pPr>
    </w:p>
    <w:p>
      <w:pPr>
        <w:pStyle w:val="14"/>
      </w:pPr>
    </w:p>
    <w:p/>
    <w:p>
      <w:pPr>
        <w:pStyle w:val="14"/>
      </w:pPr>
    </w:p>
    <w:p/>
    <w:p>
      <w:pPr>
        <w:autoSpaceDE w:val="0"/>
        <w:autoSpaceDN w:val="0"/>
        <w:adjustRightInd w:val="0"/>
        <w:spacing w:line="360" w:lineRule="auto"/>
        <w:ind w:firstLine="480" w:firstLineChars="200"/>
        <w:jc w:val="center"/>
        <w:rPr>
          <w:rFonts w:hint="eastAsia" w:ascii="宋体" w:hAnsi="宋体" w:eastAsia="宋体" w:cs="宋体"/>
          <w:sz w:val="24"/>
        </w:rPr>
      </w:pPr>
    </w:p>
    <w:p>
      <w:pPr>
        <w:autoSpaceDE w:val="0"/>
        <w:autoSpaceDN w:val="0"/>
        <w:adjustRightInd w:val="0"/>
        <w:spacing w:line="360" w:lineRule="auto"/>
        <w:ind w:firstLine="480" w:firstLineChars="200"/>
        <w:jc w:val="center"/>
        <w:rPr>
          <w:rFonts w:ascii="宋体" w:hAnsi="宋体" w:eastAsia="宋体" w:cs="宋体"/>
          <w:sz w:val="24"/>
        </w:rPr>
      </w:pPr>
      <w:r>
        <w:rPr>
          <w:rFonts w:hint="eastAsia" w:ascii="宋体" w:hAnsi="宋体" w:eastAsia="宋体" w:cs="宋体"/>
          <w:sz w:val="24"/>
        </w:rPr>
        <w:t>电控设备一览表（建议）</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rPr>
        <w:t>以下品牌推荐，最终品牌需双方评审后确定。</w:t>
      </w:r>
    </w:p>
    <w:tbl>
      <w:tblPr>
        <w:tblStyle w:val="140"/>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8"/>
        <w:gridCol w:w="1417"/>
        <w:gridCol w:w="3349"/>
        <w:gridCol w:w="62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ascii="宋体" w:hAnsi="宋体" w:eastAsia="宋体" w:cs="宋体"/>
                <w:b w:val="0"/>
                <w:bCs w:val="0"/>
                <w:sz w:val="24"/>
              </w:rPr>
            </w:pPr>
            <w:r>
              <w:rPr>
                <w:rFonts w:ascii="宋体" w:hAnsi="宋体" w:eastAsia="宋体" w:cs="宋体"/>
                <w:b w:val="0"/>
                <w:bCs w:val="0"/>
                <w:sz w:val="24"/>
              </w:rPr>
              <w:t>序号</w:t>
            </w:r>
          </w:p>
        </w:tc>
        <w:tc>
          <w:tcPr>
            <w:tcW w:w="1418" w:type="dxa"/>
            <w:vAlign w:val="center"/>
          </w:tcPr>
          <w:p>
            <w:pPr>
              <w:jc w:val="center"/>
              <w:rPr>
                <w:rFonts w:ascii="宋体" w:hAnsi="宋体" w:eastAsia="宋体" w:cs="宋体"/>
                <w:b w:val="0"/>
                <w:bCs w:val="0"/>
                <w:sz w:val="24"/>
              </w:rPr>
            </w:pPr>
            <w:r>
              <w:rPr>
                <w:rFonts w:ascii="宋体" w:hAnsi="宋体" w:eastAsia="宋体" w:cs="宋体"/>
                <w:b w:val="0"/>
                <w:bCs w:val="0"/>
                <w:sz w:val="24"/>
              </w:rPr>
              <w:t>设备名称</w:t>
            </w:r>
          </w:p>
        </w:tc>
        <w:tc>
          <w:tcPr>
            <w:tcW w:w="1417" w:type="dxa"/>
            <w:vAlign w:val="center"/>
          </w:tcPr>
          <w:p>
            <w:pPr>
              <w:jc w:val="center"/>
              <w:rPr>
                <w:rFonts w:ascii="宋体" w:hAnsi="宋体" w:eastAsia="宋体" w:cs="宋体"/>
                <w:b w:val="0"/>
                <w:bCs w:val="0"/>
                <w:sz w:val="24"/>
              </w:rPr>
            </w:pPr>
            <w:r>
              <w:rPr>
                <w:rFonts w:ascii="宋体" w:hAnsi="宋体" w:eastAsia="宋体" w:cs="宋体"/>
                <w:b w:val="0"/>
                <w:bCs w:val="0"/>
                <w:sz w:val="24"/>
              </w:rPr>
              <w:t>规格（型号）</w:t>
            </w:r>
          </w:p>
        </w:tc>
        <w:tc>
          <w:tcPr>
            <w:tcW w:w="3349" w:type="dxa"/>
            <w:vAlign w:val="center"/>
          </w:tcPr>
          <w:p>
            <w:pPr>
              <w:jc w:val="center"/>
              <w:rPr>
                <w:rFonts w:ascii="宋体" w:hAnsi="宋体" w:eastAsia="宋体" w:cs="宋体"/>
                <w:b/>
                <w:bCs/>
                <w:sz w:val="24"/>
              </w:rPr>
            </w:pPr>
            <w:r>
              <w:rPr>
                <w:rFonts w:ascii="宋体" w:hAnsi="宋体" w:eastAsia="宋体" w:cs="宋体"/>
                <w:b w:val="0"/>
                <w:bCs w:val="0"/>
                <w:sz w:val="24"/>
              </w:rPr>
              <w:t>生产厂家</w:t>
            </w:r>
          </w:p>
          <w:p>
            <w:pPr>
              <w:jc w:val="center"/>
              <w:rPr>
                <w:rFonts w:ascii="宋体" w:hAnsi="宋体" w:eastAsia="宋体" w:cs="宋体"/>
                <w:b w:val="0"/>
                <w:bCs w:val="0"/>
                <w:sz w:val="24"/>
              </w:rPr>
            </w:pPr>
            <w:r>
              <w:rPr>
                <w:rFonts w:hint="eastAsia" w:ascii="宋体" w:hAnsi="宋体" w:eastAsia="宋体" w:cs="宋体"/>
                <w:b w:val="0"/>
                <w:bCs w:val="0"/>
                <w:sz w:val="24"/>
              </w:rPr>
              <w:t>（</w:t>
            </w:r>
            <w:r>
              <w:rPr>
                <w:rFonts w:hint="eastAsia" w:ascii="宋体" w:hAnsi="宋体" w:eastAsia="宋体"/>
                <w:b w:val="0"/>
                <w:bCs w:val="0"/>
              </w:rPr>
              <w:t>需双方评审后确定）</w:t>
            </w:r>
          </w:p>
        </w:tc>
        <w:tc>
          <w:tcPr>
            <w:tcW w:w="620" w:type="dxa"/>
            <w:vAlign w:val="center"/>
          </w:tcPr>
          <w:p>
            <w:pPr>
              <w:jc w:val="center"/>
              <w:rPr>
                <w:rFonts w:ascii="宋体" w:hAnsi="宋体" w:eastAsia="宋体" w:cs="宋体"/>
                <w:b w:val="0"/>
                <w:bCs w:val="0"/>
                <w:sz w:val="24"/>
              </w:rPr>
            </w:pPr>
            <w:r>
              <w:rPr>
                <w:rFonts w:ascii="宋体" w:hAnsi="宋体" w:eastAsia="宋体" w:cs="宋体"/>
                <w:b w:val="0"/>
                <w:bCs w:val="0"/>
                <w:sz w:val="24"/>
              </w:rPr>
              <w:t>单位</w:t>
            </w:r>
          </w:p>
        </w:tc>
        <w:tc>
          <w:tcPr>
            <w:tcW w:w="709" w:type="dxa"/>
            <w:vAlign w:val="center"/>
          </w:tcPr>
          <w:p>
            <w:pPr>
              <w:jc w:val="center"/>
              <w:rPr>
                <w:rFonts w:ascii="宋体" w:hAnsi="宋体" w:eastAsia="宋体" w:cs="宋体"/>
                <w:b w:val="0"/>
                <w:bCs w:val="0"/>
                <w:sz w:val="24"/>
              </w:rPr>
            </w:pPr>
            <w:r>
              <w:rPr>
                <w:rFonts w:ascii="宋体" w:hAnsi="宋体" w:eastAsia="宋体" w:cs="宋体"/>
                <w:b w:val="0"/>
                <w:bCs w:val="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eastAsia="宋体" w:cs="宋体"/>
                <w:b w:val="0"/>
                <w:bCs w:val="0"/>
                <w:sz w:val="24"/>
              </w:rPr>
            </w:pPr>
            <w:r>
              <w:rPr>
                <w:rFonts w:ascii="宋体" w:hAnsi="宋体" w:eastAsia="宋体" w:cs="宋体"/>
                <w:b w:val="0"/>
                <w:bCs w:val="0"/>
                <w:sz w:val="24"/>
              </w:rPr>
              <w:t>1</w:t>
            </w:r>
          </w:p>
        </w:tc>
        <w:tc>
          <w:tcPr>
            <w:tcW w:w="1418" w:type="dxa"/>
            <w:shd w:val="clear" w:color="auto" w:fill="auto"/>
            <w:vAlign w:val="center"/>
          </w:tcPr>
          <w:p>
            <w:pPr>
              <w:jc w:val="center"/>
              <w:rPr>
                <w:rFonts w:ascii="宋体" w:hAnsi="宋体" w:eastAsia="宋体" w:cs="宋体"/>
                <w:sz w:val="24"/>
              </w:rPr>
            </w:pPr>
            <w:r>
              <w:rPr>
                <w:rFonts w:ascii="宋体" w:hAnsi="宋体" w:eastAsia="宋体" w:cs="宋体"/>
                <w:sz w:val="24"/>
              </w:rPr>
              <w:t>PLC</w:t>
            </w:r>
          </w:p>
        </w:tc>
        <w:tc>
          <w:tcPr>
            <w:tcW w:w="1417" w:type="dxa"/>
            <w:shd w:val="clear" w:color="auto" w:fill="auto"/>
            <w:vAlign w:val="center"/>
          </w:tcPr>
          <w:p>
            <w:pPr>
              <w:jc w:val="center"/>
              <w:rPr>
                <w:rFonts w:ascii="宋体" w:hAnsi="宋体" w:eastAsia="宋体" w:cs="宋体"/>
                <w:sz w:val="24"/>
              </w:rPr>
            </w:pPr>
            <w:r>
              <w:rPr>
                <w:rFonts w:ascii="宋体" w:hAnsi="宋体" w:eastAsia="宋体" w:cs="宋体"/>
                <w:sz w:val="24"/>
              </w:rPr>
              <w:t>S7-</w:t>
            </w:r>
            <w:r>
              <w:rPr>
                <w:rFonts w:hint="eastAsia" w:ascii="宋体" w:hAnsi="宋体" w:eastAsia="宋体" w:cs="宋体"/>
                <w:sz w:val="24"/>
              </w:rPr>
              <w:t>200</w:t>
            </w:r>
            <w:r>
              <w:rPr>
                <w:rFonts w:ascii="宋体" w:hAnsi="宋体" w:eastAsia="宋体" w:cs="宋体"/>
                <w:sz w:val="24"/>
              </w:rPr>
              <w:t>系列</w:t>
            </w:r>
          </w:p>
        </w:tc>
        <w:tc>
          <w:tcPr>
            <w:tcW w:w="3349" w:type="dxa"/>
            <w:shd w:val="clear" w:color="auto" w:fill="auto"/>
            <w:vAlign w:val="center"/>
          </w:tcPr>
          <w:p>
            <w:pPr>
              <w:jc w:val="center"/>
              <w:rPr>
                <w:rFonts w:ascii="宋体" w:hAnsi="宋体" w:eastAsia="宋体" w:cs="宋体"/>
                <w:sz w:val="24"/>
              </w:rPr>
            </w:pPr>
            <w:r>
              <w:rPr>
                <w:rFonts w:ascii="宋体" w:hAnsi="宋体" w:eastAsia="宋体" w:cs="宋体"/>
                <w:sz w:val="24"/>
              </w:rPr>
              <w:t>西门子</w:t>
            </w:r>
            <w:r>
              <w:rPr>
                <w:rFonts w:hint="eastAsia" w:ascii="宋体" w:hAnsi="宋体" w:eastAsia="宋体" w:cs="宋体"/>
                <w:sz w:val="24"/>
              </w:rPr>
              <w:t>或同价位产品</w:t>
            </w:r>
          </w:p>
        </w:tc>
        <w:tc>
          <w:tcPr>
            <w:tcW w:w="620" w:type="dxa"/>
            <w:shd w:val="clear" w:color="auto" w:fill="auto"/>
            <w:vAlign w:val="center"/>
          </w:tcPr>
          <w:p>
            <w:pPr>
              <w:jc w:val="center"/>
              <w:rPr>
                <w:rFonts w:ascii="宋体" w:hAnsi="宋体" w:eastAsia="宋体" w:cs="宋体"/>
                <w:sz w:val="24"/>
              </w:rPr>
            </w:pPr>
            <w:r>
              <w:rPr>
                <w:rFonts w:ascii="宋体" w:hAnsi="宋体" w:eastAsia="宋体" w:cs="宋体"/>
                <w:sz w:val="24"/>
              </w:rPr>
              <w:t>套</w:t>
            </w:r>
          </w:p>
        </w:tc>
        <w:tc>
          <w:tcPr>
            <w:tcW w:w="709" w:type="dxa"/>
            <w:vMerge w:val="restart"/>
            <w:shd w:val="clear" w:color="auto" w:fill="auto"/>
            <w:vAlign w:val="center"/>
          </w:tcPr>
          <w:p>
            <w:pPr>
              <w:jc w:val="center"/>
              <w:rPr>
                <w:rFonts w:ascii="宋体" w:hAnsi="宋体" w:eastAsia="宋体" w:cs="宋体"/>
                <w:sz w:val="24"/>
              </w:rPr>
            </w:pPr>
            <w:r>
              <w:rPr>
                <w:rFonts w:hint="eastAsia" w:ascii="宋体" w:hAnsi="宋体" w:eastAsia="宋体" w:cs="宋体"/>
                <w:sz w:val="24"/>
              </w:rPr>
              <w:t>按</w:t>
            </w:r>
            <w:r>
              <w:rPr>
                <w:rFonts w:ascii="宋体" w:hAnsi="宋体" w:eastAsia="宋体" w:cs="宋体"/>
                <w:sz w:val="24"/>
              </w:rPr>
              <w:t>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eastAsia="宋体" w:cs="宋体"/>
                <w:b w:val="0"/>
                <w:bCs w:val="0"/>
                <w:sz w:val="24"/>
              </w:rPr>
            </w:pPr>
            <w:r>
              <w:rPr>
                <w:rFonts w:ascii="宋体" w:hAnsi="宋体" w:eastAsia="宋体" w:cs="宋体"/>
                <w:b w:val="0"/>
                <w:bCs w:val="0"/>
                <w:sz w:val="24"/>
              </w:rPr>
              <w:t>2</w:t>
            </w:r>
          </w:p>
        </w:tc>
        <w:tc>
          <w:tcPr>
            <w:tcW w:w="1418" w:type="dxa"/>
            <w:shd w:val="clear" w:color="auto" w:fill="auto"/>
            <w:vAlign w:val="center"/>
          </w:tcPr>
          <w:p>
            <w:pPr>
              <w:jc w:val="center"/>
              <w:rPr>
                <w:rFonts w:ascii="宋体" w:hAnsi="宋体" w:eastAsia="宋体" w:cs="宋体"/>
                <w:sz w:val="24"/>
              </w:rPr>
            </w:pPr>
            <w:r>
              <w:rPr>
                <w:rFonts w:ascii="宋体" w:hAnsi="宋体" w:eastAsia="宋体" w:cs="宋体"/>
                <w:sz w:val="24"/>
              </w:rPr>
              <w:t>触摸屏</w:t>
            </w:r>
          </w:p>
        </w:tc>
        <w:tc>
          <w:tcPr>
            <w:tcW w:w="1417" w:type="dxa"/>
            <w:shd w:val="clear" w:color="auto" w:fill="auto"/>
            <w:vAlign w:val="center"/>
          </w:tcPr>
          <w:p>
            <w:pPr>
              <w:jc w:val="center"/>
              <w:rPr>
                <w:rFonts w:ascii="宋体" w:hAnsi="宋体" w:eastAsia="宋体" w:cs="宋体"/>
                <w:sz w:val="24"/>
              </w:rPr>
            </w:pPr>
            <w:r>
              <w:rPr>
                <w:rFonts w:hint="eastAsia" w:ascii="宋体" w:hAnsi="宋体" w:eastAsia="宋体" w:cs="宋体"/>
                <w:sz w:val="24"/>
              </w:rPr>
              <w:t>10吋</w:t>
            </w:r>
          </w:p>
        </w:tc>
        <w:tc>
          <w:tcPr>
            <w:tcW w:w="3349" w:type="dxa"/>
            <w:shd w:val="clear" w:color="auto" w:fill="auto"/>
            <w:vAlign w:val="center"/>
          </w:tcPr>
          <w:p>
            <w:pPr>
              <w:jc w:val="center"/>
              <w:rPr>
                <w:rFonts w:ascii="宋体" w:hAnsi="宋体" w:eastAsia="宋体" w:cs="宋体"/>
                <w:sz w:val="24"/>
              </w:rPr>
            </w:pPr>
            <w:r>
              <w:rPr>
                <w:rFonts w:hint="eastAsia" w:ascii="宋体" w:hAnsi="宋体" w:eastAsia="宋体" w:cs="宋体"/>
                <w:sz w:val="24"/>
              </w:rPr>
              <w:t>西门子/三菱/欧姆龙或同价位产品</w:t>
            </w:r>
          </w:p>
        </w:tc>
        <w:tc>
          <w:tcPr>
            <w:tcW w:w="620" w:type="dxa"/>
            <w:shd w:val="clear" w:color="auto" w:fill="auto"/>
            <w:vAlign w:val="center"/>
          </w:tcPr>
          <w:p>
            <w:pPr>
              <w:jc w:val="center"/>
              <w:rPr>
                <w:rFonts w:ascii="宋体" w:hAnsi="宋体" w:eastAsia="宋体" w:cs="宋体"/>
                <w:sz w:val="24"/>
              </w:rPr>
            </w:pPr>
            <w:r>
              <w:rPr>
                <w:rFonts w:ascii="宋体" w:hAnsi="宋体" w:eastAsia="宋体" w:cs="宋体"/>
                <w:sz w:val="24"/>
              </w:rPr>
              <w:t>套</w:t>
            </w:r>
          </w:p>
        </w:tc>
        <w:tc>
          <w:tcPr>
            <w:tcW w:w="709" w:type="dxa"/>
            <w:vMerge w:val="continue"/>
            <w:shd w:val="clear" w:color="auto" w:fill="auto"/>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eastAsia="宋体" w:cs="宋体"/>
                <w:b w:val="0"/>
                <w:bCs w:val="0"/>
                <w:sz w:val="24"/>
              </w:rPr>
            </w:pPr>
            <w:r>
              <w:rPr>
                <w:rFonts w:ascii="宋体" w:hAnsi="宋体" w:eastAsia="宋体" w:cs="宋体"/>
                <w:b w:val="0"/>
                <w:bCs w:val="0"/>
                <w:sz w:val="24"/>
              </w:rPr>
              <w:t>3</w:t>
            </w:r>
          </w:p>
        </w:tc>
        <w:tc>
          <w:tcPr>
            <w:tcW w:w="1418" w:type="dxa"/>
            <w:shd w:val="clear" w:color="auto" w:fill="auto"/>
            <w:vAlign w:val="center"/>
          </w:tcPr>
          <w:p>
            <w:pPr>
              <w:jc w:val="center"/>
              <w:rPr>
                <w:rFonts w:ascii="宋体" w:hAnsi="宋体" w:eastAsia="宋体" w:cs="宋体"/>
                <w:sz w:val="24"/>
              </w:rPr>
            </w:pPr>
            <w:r>
              <w:rPr>
                <w:rFonts w:ascii="宋体" w:hAnsi="宋体" w:eastAsia="宋体" w:cs="宋体"/>
                <w:sz w:val="24"/>
              </w:rPr>
              <w:t>断路器</w:t>
            </w:r>
          </w:p>
        </w:tc>
        <w:tc>
          <w:tcPr>
            <w:tcW w:w="1417" w:type="dxa"/>
            <w:shd w:val="clear" w:color="auto" w:fill="auto"/>
            <w:vAlign w:val="center"/>
          </w:tcPr>
          <w:p>
            <w:pPr>
              <w:jc w:val="center"/>
              <w:rPr>
                <w:rFonts w:ascii="宋体" w:hAnsi="宋体" w:eastAsia="宋体" w:cs="宋体"/>
                <w:sz w:val="24"/>
              </w:rPr>
            </w:pPr>
            <w:r>
              <w:rPr>
                <w:rFonts w:hint="eastAsia" w:ascii="宋体" w:hAnsi="宋体" w:eastAsia="宋体" w:cs="宋体"/>
                <w:sz w:val="24"/>
              </w:rPr>
              <w:t>国标</w:t>
            </w:r>
          </w:p>
        </w:tc>
        <w:tc>
          <w:tcPr>
            <w:tcW w:w="3349" w:type="dxa"/>
            <w:shd w:val="clear" w:color="auto" w:fill="auto"/>
            <w:vAlign w:val="center"/>
          </w:tcPr>
          <w:p>
            <w:pPr>
              <w:jc w:val="center"/>
              <w:rPr>
                <w:rFonts w:ascii="宋体" w:hAnsi="宋体" w:eastAsia="宋体" w:cs="宋体"/>
                <w:sz w:val="24"/>
              </w:rPr>
            </w:pPr>
            <w:r>
              <w:rPr>
                <w:rFonts w:ascii="宋体" w:hAnsi="宋体" w:eastAsia="宋体" w:cs="宋体"/>
                <w:sz w:val="24"/>
              </w:rPr>
              <w:t>施耐德/</w:t>
            </w:r>
            <w:r>
              <w:rPr>
                <w:rFonts w:hint="eastAsia" w:ascii="宋体" w:hAnsi="宋体" w:eastAsia="宋体" w:cs="宋体"/>
                <w:sz w:val="24"/>
              </w:rPr>
              <w:t>西门子或同价位产品</w:t>
            </w:r>
          </w:p>
        </w:tc>
        <w:tc>
          <w:tcPr>
            <w:tcW w:w="620" w:type="dxa"/>
            <w:shd w:val="clear" w:color="auto" w:fill="auto"/>
            <w:vAlign w:val="center"/>
          </w:tcPr>
          <w:p>
            <w:pPr>
              <w:jc w:val="center"/>
              <w:rPr>
                <w:rFonts w:ascii="宋体" w:hAnsi="宋体" w:eastAsia="宋体" w:cs="宋体"/>
                <w:sz w:val="24"/>
              </w:rPr>
            </w:pPr>
            <w:r>
              <w:rPr>
                <w:rFonts w:ascii="宋体" w:hAnsi="宋体" w:eastAsia="宋体" w:cs="宋体"/>
                <w:sz w:val="24"/>
              </w:rPr>
              <w:t>台</w:t>
            </w:r>
          </w:p>
        </w:tc>
        <w:tc>
          <w:tcPr>
            <w:tcW w:w="709" w:type="dxa"/>
            <w:vMerge w:val="continue"/>
            <w:shd w:val="clear" w:color="auto" w:fill="auto"/>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ascii="宋体" w:hAnsi="宋体" w:eastAsia="宋体" w:cs="宋体"/>
                <w:b w:val="0"/>
                <w:bCs w:val="0"/>
                <w:sz w:val="24"/>
              </w:rPr>
            </w:pPr>
            <w:r>
              <w:rPr>
                <w:rFonts w:ascii="宋体" w:hAnsi="宋体" w:eastAsia="宋体" w:cs="宋体"/>
                <w:b w:val="0"/>
                <w:bCs w:val="0"/>
                <w:sz w:val="24"/>
              </w:rPr>
              <w:t>4</w:t>
            </w:r>
          </w:p>
        </w:tc>
        <w:tc>
          <w:tcPr>
            <w:tcW w:w="1418" w:type="dxa"/>
            <w:vAlign w:val="center"/>
          </w:tcPr>
          <w:p>
            <w:pPr>
              <w:jc w:val="center"/>
              <w:rPr>
                <w:rFonts w:ascii="宋体" w:hAnsi="宋体" w:eastAsia="宋体" w:cs="宋体"/>
                <w:sz w:val="24"/>
              </w:rPr>
            </w:pPr>
            <w:r>
              <w:rPr>
                <w:rFonts w:ascii="宋体" w:hAnsi="宋体" w:eastAsia="宋体" w:cs="宋体"/>
                <w:sz w:val="24"/>
              </w:rPr>
              <w:t>变频器</w:t>
            </w:r>
          </w:p>
        </w:tc>
        <w:tc>
          <w:tcPr>
            <w:tcW w:w="1417" w:type="dxa"/>
            <w:shd w:val="clear" w:color="auto" w:fill="auto"/>
            <w:vAlign w:val="center"/>
          </w:tcPr>
          <w:p>
            <w:pPr>
              <w:jc w:val="center"/>
              <w:rPr>
                <w:rFonts w:ascii="宋体" w:hAnsi="宋体" w:eastAsia="宋体" w:cs="宋体"/>
                <w:sz w:val="24"/>
              </w:rPr>
            </w:pPr>
            <w:r>
              <w:rPr>
                <w:rFonts w:hint="eastAsia" w:ascii="宋体" w:hAnsi="宋体" w:eastAsia="宋体" w:cs="宋体"/>
                <w:sz w:val="24"/>
              </w:rPr>
              <w:t>国标</w:t>
            </w:r>
          </w:p>
        </w:tc>
        <w:tc>
          <w:tcPr>
            <w:tcW w:w="3349" w:type="dxa"/>
            <w:shd w:val="clear" w:color="auto" w:fill="auto"/>
            <w:vAlign w:val="center"/>
          </w:tcPr>
          <w:p>
            <w:pPr>
              <w:jc w:val="center"/>
              <w:rPr>
                <w:rFonts w:ascii="宋体" w:hAnsi="宋体" w:eastAsia="宋体" w:cs="宋体"/>
                <w:sz w:val="24"/>
              </w:rPr>
            </w:pPr>
            <w:r>
              <w:rPr>
                <w:rFonts w:hint="eastAsia" w:ascii="宋体" w:hAnsi="宋体" w:eastAsia="宋体" w:cs="宋体"/>
                <w:sz w:val="24"/>
              </w:rPr>
              <w:t>西门子</w:t>
            </w:r>
            <w:r>
              <w:rPr>
                <w:rFonts w:ascii="宋体" w:hAnsi="宋体" w:eastAsia="宋体" w:cs="宋体"/>
                <w:sz w:val="24"/>
              </w:rPr>
              <w:t>/</w:t>
            </w:r>
            <w:r>
              <w:rPr>
                <w:rFonts w:hint="eastAsia" w:ascii="宋体" w:hAnsi="宋体" w:eastAsia="宋体" w:cs="宋体"/>
                <w:sz w:val="24"/>
              </w:rPr>
              <w:t>三菱或同价位产品</w:t>
            </w:r>
          </w:p>
        </w:tc>
        <w:tc>
          <w:tcPr>
            <w:tcW w:w="620" w:type="dxa"/>
            <w:vAlign w:val="center"/>
          </w:tcPr>
          <w:p>
            <w:pPr>
              <w:jc w:val="center"/>
              <w:rPr>
                <w:rFonts w:ascii="宋体" w:hAnsi="宋体" w:eastAsia="宋体" w:cs="宋体"/>
                <w:sz w:val="24"/>
              </w:rPr>
            </w:pPr>
            <w:r>
              <w:rPr>
                <w:rFonts w:ascii="宋体" w:hAnsi="宋体" w:eastAsia="宋体" w:cs="宋体"/>
                <w:sz w:val="24"/>
              </w:rPr>
              <w:t>台</w:t>
            </w:r>
          </w:p>
        </w:tc>
        <w:tc>
          <w:tcPr>
            <w:tcW w:w="709" w:type="dxa"/>
            <w:vMerge w:val="continue"/>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eastAsia="宋体" w:cs="宋体"/>
                <w:b w:val="0"/>
                <w:bCs w:val="0"/>
                <w:sz w:val="24"/>
              </w:rPr>
            </w:pPr>
            <w:r>
              <w:rPr>
                <w:rFonts w:ascii="宋体" w:hAnsi="宋体" w:eastAsia="宋体" w:cs="宋体"/>
                <w:b w:val="0"/>
                <w:bCs w:val="0"/>
                <w:sz w:val="24"/>
              </w:rPr>
              <w:t>5</w:t>
            </w:r>
          </w:p>
        </w:tc>
        <w:tc>
          <w:tcPr>
            <w:tcW w:w="1418" w:type="dxa"/>
            <w:shd w:val="clear" w:color="auto" w:fill="auto"/>
            <w:vAlign w:val="center"/>
          </w:tcPr>
          <w:p>
            <w:pPr>
              <w:jc w:val="center"/>
              <w:rPr>
                <w:rFonts w:ascii="宋体" w:hAnsi="宋体" w:eastAsia="宋体" w:cs="宋体"/>
                <w:sz w:val="24"/>
              </w:rPr>
            </w:pPr>
            <w:r>
              <w:rPr>
                <w:rFonts w:ascii="宋体" w:hAnsi="宋体" w:eastAsia="宋体" w:cs="宋体"/>
                <w:sz w:val="24"/>
              </w:rPr>
              <w:t>温控器</w:t>
            </w:r>
          </w:p>
        </w:tc>
        <w:tc>
          <w:tcPr>
            <w:tcW w:w="1417" w:type="dxa"/>
            <w:shd w:val="clear" w:color="auto" w:fill="auto"/>
            <w:vAlign w:val="center"/>
          </w:tcPr>
          <w:p>
            <w:pPr>
              <w:jc w:val="center"/>
              <w:rPr>
                <w:rFonts w:ascii="宋体" w:hAnsi="宋体" w:eastAsia="宋体" w:cs="宋体"/>
                <w:sz w:val="24"/>
              </w:rPr>
            </w:pPr>
            <w:r>
              <w:rPr>
                <w:rFonts w:hint="eastAsia" w:ascii="宋体" w:hAnsi="宋体" w:eastAsia="宋体" w:cs="宋体"/>
                <w:sz w:val="24"/>
              </w:rPr>
              <w:t>国标</w:t>
            </w:r>
          </w:p>
        </w:tc>
        <w:tc>
          <w:tcPr>
            <w:tcW w:w="3349" w:type="dxa"/>
            <w:shd w:val="clear" w:color="auto" w:fill="auto"/>
            <w:vAlign w:val="center"/>
          </w:tcPr>
          <w:p>
            <w:pPr>
              <w:jc w:val="center"/>
              <w:rPr>
                <w:rFonts w:ascii="宋体" w:hAnsi="宋体" w:eastAsia="宋体" w:cs="宋体"/>
                <w:sz w:val="24"/>
              </w:rPr>
            </w:pPr>
            <w:r>
              <w:rPr>
                <w:rFonts w:ascii="宋体" w:hAnsi="宋体" w:eastAsia="宋体" w:cs="宋体"/>
                <w:sz w:val="24"/>
              </w:rPr>
              <w:t>施耐德</w:t>
            </w:r>
            <w:r>
              <w:rPr>
                <w:rFonts w:hint="eastAsia" w:ascii="宋体" w:hAnsi="宋体" w:eastAsia="宋体" w:cs="宋体"/>
                <w:sz w:val="24"/>
              </w:rPr>
              <w:t>/欧姆龙/</w:t>
            </w:r>
            <w:r>
              <w:rPr>
                <w:rFonts w:ascii="宋体" w:hAnsi="宋体" w:eastAsia="宋体" w:cs="宋体"/>
                <w:sz w:val="24"/>
              </w:rPr>
              <w:t>霍尼韦尔</w:t>
            </w:r>
            <w:r>
              <w:rPr>
                <w:rFonts w:hint="eastAsia" w:ascii="宋体" w:hAnsi="宋体" w:eastAsia="宋体" w:cs="宋体"/>
                <w:sz w:val="24"/>
              </w:rPr>
              <w:t>或同价位产品</w:t>
            </w:r>
          </w:p>
        </w:tc>
        <w:tc>
          <w:tcPr>
            <w:tcW w:w="620" w:type="dxa"/>
            <w:shd w:val="clear" w:color="auto" w:fill="auto"/>
            <w:vAlign w:val="center"/>
          </w:tcPr>
          <w:p>
            <w:pPr>
              <w:jc w:val="center"/>
              <w:rPr>
                <w:rFonts w:ascii="宋体" w:hAnsi="宋体" w:eastAsia="宋体" w:cs="宋体"/>
                <w:sz w:val="24"/>
              </w:rPr>
            </w:pPr>
            <w:r>
              <w:rPr>
                <w:rFonts w:ascii="宋体" w:hAnsi="宋体" w:eastAsia="宋体" w:cs="宋体"/>
                <w:sz w:val="24"/>
              </w:rPr>
              <w:t>台</w:t>
            </w:r>
          </w:p>
        </w:tc>
        <w:tc>
          <w:tcPr>
            <w:tcW w:w="709" w:type="dxa"/>
            <w:vMerge w:val="continue"/>
            <w:shd w:val="clear" w:color="auto" w:fill="F1F1F1" w:themeFill="background1" w:themeFillShade="F2"/>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eastAsia="宋体" w:cs="宋体"/>
                <w:b w:val="0"/>
                <w:bCs w:val="0"/>
                <w:sz w:val="24"/>
              </w:rPr>
            </w:pPr>
            <w:r>
              <w:rPr>
                <w:rFonts w:ascii="宋体" w:hAnsi="宋体" w:eastAsia="宋体" w:cs="宋体"/>
                <w:b w:val="0"/>
                <w:bCs w:val="0"/>
                <w:sz w:val="24"/>
              </w:rPr>
              <w:t>6</w:t>
            </w:r>
          </w:p>
        </w:tc>
        <w:tc>
          <w:tcPr>
            <w:tcW w:w="1418" w:type="dxa"/>
            <w:shd w:val="clear" w:color="auto" w:fill="auto"/>
            <w:vAlign w:val="center"/>
          </w:tcPr>
          <w:p>
            <w:pPr>
              <w:jc w:val="center"/>
              <w:rPr>
                <w:rFonts w:ascii="宋体" w:hAnsi="宋体" w:eastAsia="宋体" w:cs="宋体"/>
                <w:sz w:val="24"/>
              </w:rPr>
            </w:pPr>
            <w:r>
              <w:rPr>
                <w:rFonts w:ascii="宋体" w:hAnsi="宋体" w:eastAsia="宋体" w:cs="宋体"/>
                <w:sz w:val="24"/>
              </w:rPr>
              <w:t>温度传感器</w:t>
            </w:r>
          </w:p>
        </w:tc>
        <w:tc>
          <w:tcPr>
            <w:tcW w:w="1417" w:type="dxa"/>
            <w:shd w:val="clear" w:color="auto" w:fill="auto"/>
            <w:vAlign w:val="center"/>
          </w:tcPr>
          <w:p>
            <w:pPr>
              <w:jc w:val="center"/>
              <w:rPr>
                <w:rFonts w:ascii="宋体" w:hAnsi="宋体" w:eastAsia="宋体" w:cs="宋体"/>
                <w:sz w:val="24"/>
              </w:rPr>
            </w:pPr>
            <w:r>
              <w:rPr>
                <w:rFonts w:hint="eastAsia" w:ascii="宋体" w:hAnsi="宋体" w:eastAsia="宋体" w:cs="宋体"/>
                <w:sz w:val="24"/>
              </w:rPr>
              <w:t>国标</w:t>
            </w:r>
          </w:p>
        </w:tc>
        <w:tc>
          <w:tcPr>
            <w:tcW w:w="3349" w:type="dxa"/>
            <w:shd w:val="clear" w:color="auto" w:fill="auto"/>
            <w:vAlign w:val="center"/>
          </w:tcPr>
          <w:p>
            <w:pPr>
              <w:jc w:val="center"/>
              <w:rPr>
                <w:rFonts w:ascii="宋体" w:hAnsi="宋体" w:eastAsia="宋体" w:cs="宋体"/>
                <w:sz w:val="24"/>
              </w:rPr>
            </w:pPr>
            <w:r>
              <w:rPr>
                <w:rFonts w:ascii="宋体" w:hAnsi="宋体" w:eastAsia="宋体" w:cs="宋体"/>
                <w:sz w:val="24"/>
              </w:rPr>
              <w:t>施耐德</w:t>
            </w:r>
            <w:r>
              <w:rPr>
                <w:rFonts w:hint="eastAsia" w:ascii="宋体" w:hAnsi="宋体" w:eastAsia="宋体" w:cs="宋体"/>
                <w:sz w:val="24"/>
              </w:rPr>
              <w:t>/欧姆龙/</w:t>
            </w:r>
            <w:r>
              <w:rPr>
                <w:rFonts w:ascii="宋体" w:hAnsi="宋体" w:eastAsia="宋体" w:cs="宋体"/>
                <w:sz w:val="24"/>
              </w:rPr>
              <w:t>霍尼韦尔</w:t>
            </w:r>
            <w:r>
              <w:rPr>
                <w:rFonts w:hint="eastAsia" w:ascii="宋体" w:hAnsi="宋体" w:eastAsia="宋体" w:cs="宋体"/>
                <w:sz w:val="24"/>
              </w:rPr>
              <w:t>或同价位产品</w:t>
            </w:r>
          </w:p>
        </w:tc>
        <w:tc>
          <w:tcPr>
            <w:tcW w:w="620" w:type="dxa"/>
            <w:shd w:val="clear" w:color="auto" w:fill="auto"/>
            <w:vAlign w:val="center"/>
          </w:tcPr>
          <w:p>
            <w:pPr>
              <w:jc w:val="center"/>
              <w:rPr>
                <w:rFonts w:ascii="宋体" w:hAnsi="宋体" w:eastAsia="宋体" w:cs="宋体"/>
                <w:sz w:val="24"/>
              </w:rPr>
            </w:pPr>
            <w:r>
              <w:rPr>
                <w:rFonts w:ascii="宋体" w:hAnsi="宋体" w:eastAsia="宋体" w:cs="宋体"/>
                <w:sz w:val="24"/>
              </w:rPr>
              <w:t>台</w:t>
            </w:r>
          </w:p>
        </w:tc>
        <w:tc>
          <w:tcPr>
            <w:tcW w:w="709" w:type="dxa"/>
            <w:vMerge w:val="continue"/>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eastAsia="宋体" w:cs="宋体"/>
                <w:b w:val="0"/>
                <w:bCs w:val="0"/>
                <w:sz w:val="24"/>
              </w:rPr>
            </w:pPr>
            <w:r>
              <w:rPr>
                <w:rFonts w:ascii="宋体" w:hAnsi="宋体" w:eastAsia="宋体" w:cs="宋体"/>
                <w:b w:val="0"/>
                <w:bCs w:val="0"/>
                <w:sz w:val="24"/>
              </w:rPr>
              <w:t>7</w:t>
            </w:r>
          </w:p>
        </w:tc>
        <w:tc>
          <w:tcPr>
            <w:tcW w:w="1418" w:type="dxa"/>
            <w:shd w:val="clear" w:color="auto" w:fill="auto"/>
            <w:vAlign w:val="center"/>
          </w:tcPr>
          <w:p>
            <w:pPr>
              <w:jc w:val="center"/>
              <w:rPr>
                <w:rFonts w:ascii="宋体" w:hAnsi="宋体" w:eastAsia="宋体" w:cs="宋体"/>
                <w:sz w:val="24"/>
              </w:rPr>
            </w:pPr>
            <w:r>
              <w:rPr>
                <w:rFonts w:ascii="宋体" w:hAnsi="宋体" w:eastAsia="宋体" w:cs="宋体"/>
                <w:sz w:val="24"/>
              </w:rPr>
              <w:t>压差计</w:t>
            </w:r>
          </w:p>
        </w:tc>
        <w:tc>
          <w:tcPr>
            <w:tcW w:w="1417" w:type="dxa"/>
            <w:shd w:val="clear" w:color="auto" w:fill="auto"/>
            <w:vAlign w:val="center"/>
          </w:tcPr>
          <w:p>
            <w:pPr>
              <w:jc w:val="center"/>
              <w:rPr>
                <w:rFonts w:ascii="宋体" w:hAnsi="宋体" w:eastAsia="宋体" w:cs="宋体"/>
                <w:sz w:val="24"/>
              </w:rPr>
            </w:pPr>
            <w:r>
              <w:rPr>
                <w:rFonts w:hint="eastAsia" w:ascii="宋体" w:hAnsi="宋体" w:eastAsia="宋体" w:cs="宋体"/>
                <w:sz w:val="24"/>
              </w:rPr>
              <w:t>国标</w:t>
            </w:r>
          </w:p>
        </w:tc>
        <w:tc>
          <w:tcPr>
            <w:tcW w:w="3349" w:type="dxa"/>
            <w:shd w:val="clear" w:color="auto" w:fill="auto"/>
            <w:vAlign w:val="center"/>
          </w:tcPr>
          <w:p>
            <w:pPr>
              <w:jc w:val="center"/>
              <w:rPr>
                <w:rFonts w:ascii="宋体" w:hAnsi="宋体" w:eastAsia="宋体" w:cs="宋体"/>
                <w:sz w:val="24"/>
              </w:rPr>
            </w:pPr>
            <w:r>
              <w:rPr>
                <w:rFonts w:ascii="宋体" w:hAnsi="宋体" w:eastAsia="宋体" w:cs="宋体"/>
                <w:sz w:val="24"/>
              </w:rPr>
              <w:t>施耐德/霍尼韦尔</w:t>
            </w:r>
            <w:r>
              <w:rPr>
                <w:rFonts w:hint="eastAsia" w:ascii="宋体" w:hAnsi="宋体" w:eastAsia="宋体" w:cs="宋体"/>
                <w:sz w:val="24"/>
              </w:rPr>
              <w:t>/正泰或同价位产品</w:t>
            </w:r>
          </w:p>
        </w:tc>
        <w:tc>
          <w:tcPr>
            <w:tcW w:w="620" w:type="dxa"/>
            <w:shd w:val="clear" w:color="auto" w:fill="auto"/>
            <w:vAlign w:val="center"/>
          </w:tcPr>
          <w:p>
            <w:pPr>
              <w:jc w:val="center"/>
              <w:rPr>
                <w:rFonts w:ascii="宋体" w:hAnsi="宋体" w:eastAsia="宋体" w:cs="宋体"/>
                <w:sz w:val="24"/>
              </w:rPr>
            </w:pPr>
            <w:r>
              <w:rPr>
                <w:rFonts w:ascii="宋体" w:hAnsi="宋体" w:eastAsia="宋体" w:cs="宋体"/>
                <w:sz w:val="24"/>
              </w:rPr>
              <w:t>台</w:t>
            </w:r>
          </w:p>
        </w:tc>
        <w:tc>
          <w:tcPr>
            <w:tcW w:w="709" w:type="dxa"/>
            <w:vMerge w:val="continue"/>
            <w:shd w:val="clear" w:color="auto" w:fill="F1F1F1" w:themeFill="background1" w:themeFillShade="F2"/>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ascii="宋体" w:hAnsi="宋体" w:eastAsia="宋体" w:cs="宋体"/>
                <w:b w:val="0"/>
                <w:bCs w:val="0"/>
                <w:sz w:val="24"/>
              </w:rPr>
            </w:pPr>
            <w:r>
              <w:rPr>
                <w:rFonts w:ascii="宋体" w:hAnsi="宋体" w:eastAsia="宋体" w:cs="宋体"/>
                <w:b w:val="0"/>
                <w:bCs w:val="0"/>
                <w:sz w:val="24"/>
              </w:rPr>
              <w:t>8</w:t>
            </w:r>
          </w:p>
        </w:tc>
        <w:tc>
          <w:tcPr>
            <w:tcW w:w="1418" w:type="dxa"/>
            <w:vAlign w:val="center"/>
          </w:tcPr>
          <w:p>
            <w:pPr>
              <w:jc w:val="center"/>
              <w:rPr>
                <w:rFonts w:ascii="宋体" w:hAnsi="宋体" w:eastAsia="宋体" w:cs="宋体"/>
                <w:sz w:val="24"/>
              </w:rPr>
            </w:pPr>
            <w:r>
              <w:rPr>
                <w:rFonts w:ascii="宋体" w:hAnsi="宋体" w:eastAsia="宋体" w:cs="宋体"/>
                <w:sz w:val="24"/>
              </w:rPr>
              <w:t>电磁阀</w:t>
            </w:r>
          </w:p>
        </w:tc>
        <w:tc>
          <w:tcPr>
            <w:tcW w:w="1417" w:type="dxa"/>
            <w:shd w:val="clear" w:color="auto" w:fill="auto"/>
            <w:vAlign w:val="center"/>
          </w:tcPr>
          <w:p>
            <w:pPr>
              <w:jc w:val="center"/>
              <w:rPr>
                <w:rFonts w:ascii="宋体" w:hAnsi="宋体" w:eastAsia="宋体" w:cs="宋体"/>
                <w:sz w:val="24"/>
              </w:rPr>
            </w:pPr>
            <w:r>
              <w:rPr>
                <w:rFonts w:hint="eastAsia" w:ascii="宋体" w:hAnsi="宋体" w:eastAsia="宋体" w:cs="宋体"/>
                <w:sz w:val="24"/>
              </w:rPr>
              <w:t>国标</w:t>
            </w:r>
          </w:p>
        </w:tc>
        <w:tc>
          <w:tcPr>
            <w:tcW w:w="3349" w:type="dxa"/>
            <w:shd w:val="clear" w:color="auto" w:fill="auto"/>
            <w:vAlign w:val="center"/>
          </w:tcPr>
          <w:p>
            <w:pPr>
              <w:jc w:val="center"/>
              <w:rPr>
                <w:rFonts w:ascii="宋体" w:hAnsi="宋体" w:eastAsia="宋体" w:cs="宋体"/>
                <w:sz w:val="24"/>
              </w:rPr>
            </w:pPr>
            <w:r>
              <w:rPr>
                <w:rFonts w:ascii="宋体" w:hAnsi="宋体" w:eastAsia="宋体" w:cs="宋体"/>
                <w:sz w:val="24"/>
              </w:rPr>
              <w:t>霍尼韦尔/</w:t>
            </w:r>
            <w:r>
              <w:rPr>
                <w:rFonts w:hint="eastAsia" w:ascii="宋体" w:hAnsi="宋体" w:eastAsia="宋体" w:cs="宋体"/>
                <w:sz w:val="24"/>
              </w:rPr>
              <w:t>正泰/</w:t>
            </w:r>
            <w:r>
              <w:rPr>
                <w:rFonts w:ascii="宋体" w:hAnsi="宋体" w:eastAsia="宋体" w:cs="宋体"/>
                <w:sz w:val="24"/>
              </w:rPr>
              <w:t>SMC</w:t>
            </w:r>
            <w:r>
              <w:rPr>
                <w:rFonts w:hint="eastAsia" w:ascii="宋体" w:hAnsi="宋体" w:eastAsia="宋体" w:cs="宋体"/>
                <w:sz w:val="24"/>
              </w:rPr>
              <w:t>或同价位产品</w:t>
            </w:r>
          </w:p>
        </w:tc>
        <w:tc>
          <w:tcPr>
            <w:tcW w:w="620" w:type="dxa"/>
            <w:vAlign w:val="center"/>
          </w:tcPr>
          <w:p>
            <w:pPr>
              <w:jc w:val="center"/>
              <w:rPr>
                <w:rFonts w:ascii="宋体" w:hAnsi="宋体" w:eastAsia="宋体" w:cs="宋体"/>
                <w:sz w:val="24"/>
              </w:rPr>
            </w:pPr>
            <w:r>
              <w:rPr>
                <w:rFonts w:ascii="宋体" w:hAnsi="宋体" w:eastAsia="宋体" w:cs="宋体"/>
                <w:sz w:val="24"/>
              </w:rPr>
              <w:t>个</w:t>
            </w:r>
          </w:p>
        </w:tc>
        <w:tc>
          <w:tcPr>
            <w:tcW w:w="709" w:type="dxa"/>
            <w:vMerge w:val="continue"/>
            <w:vAlign w:val="center"/>
          </w:tcPr>
          <w:p>
            <w:pPr>
              <w:jc w:val="center"/>
              <w:rPr>
                <w:rFonts w:ascii="宋体" w:hAnsi="宋体" w:eastAsia="宋体" w:cs="宋体"/>
                <w:sz w:val="24"/>
              </w:rPr>
            </w:pPr>
          </w:p>
        </w:tc>
      </w:tr>
    </w:tbl>
    <w:p>
      <w:pPr>
        <w:adjustRightInd w:val="0"/>
        <w:snapToGrid w:val="0"/>
        <w:spacing w:line="360" w:lineRule="auto"/>
        <w:ind w:firstLine="480" w:firstLineChars="200"/>
        <w:rPr>
          <w:rFonts w:ascii="宋体" w:hAnsi="宋体" w:eastAsia="宋体" w:cs="宋体"/>
          <w:sz w:val="24"/>
        </w:rPr>
      </w:pPr>
    </w:p>
    <w:p>
      <w:pPr>
        <w:pStyle w:val="6"/>
        <w:spacing w:before="0" w:after="0" w:line="360" w:lineRule="auto"/>
        <w:rPr>
          <w:rFonts w:ascii="宋体" w:hAnsi="宋体"/>
          <w:b w:val="0"/>
          <w:bCs w:val="0"/>
          <w:sz w:val="24"/>
          <w:szCs w:val="24"/>
        </w:rPr>
      </w:pPr>
      <w:r>
        <w:rPr>
          <w:rFonts w:ascii="宋体" w:hAnsi="宋体"/>
          <w:b w:val="0"/>
          <w:bCs w:val="0"/>
          <w:sz w:val="24"/>
          <w:szCs w:val="24"/>
        </w:rPr>
        <w:t>3.4.7</w:t>
      </w:r>
      <w:r>
        <w:rPr>
          <w:rFonts w:hint="eastAsia" w:ascii="宋体" w:hAnsi="宋体"/>
          <w:b w:val="0"/>
          <w:bCs w:val="0"/>
          <w:sz w:val="24"/>
          <w:szCs w:val="24"/>
        </w:rPr>
        <w:t>控制说明</w:t>
      </w:r>
    </w:p>
    <w:p>
      <w:pPr>
        <w:spacing w:line="360" w:lineRule="auto"/>
        <w:ind w:firstLine="480"/>
        <w:rPr>
          <w:rFonts w:ascii="宋体" w:hAnsi="宋体" w:eastAsia="宋体" w:cs="宋体"/>
          <w:sz w:val="24"/>
        </w:rPr>
      </w:pPr>
      <w:r>
        <w:rPr>
          <w:rFonts w:hint="eastAsia" w:ascii="宋体" w:hAnsi="宋体" w:eastAsia="宋体" w:cs="宋体"/>
          <w:sz w:val="24"/>
        </w:rPr>
        <w:t>为了满足生产线生产和维护，以及TNV处理系统的自身的运行和维护，TNV系统的运行状态设置正常运行模式、紧急模式、节能模式和手动模式。其中节能模式分为正常停车、保温停车两种模式。</w:t>
      </w:r>
    </w:p>
    <w:p>
      <w:pPr>
        <w:spacing w:line="360" w:lineRule="auto"/>
        <w:rPr>
          <w:rFonts w:ascii="宋体" w:hAnsi="宋体" w:eastAsia="宋体" w:cs="宋体"/>
          <w:sz w:val="24"/>
        </w:rPr>
      </w:pPr>
      <w:r>
        <w:rPr>
          <w:rFonts w:ascii="宋体" w:hAnsi="宋体" w:eastAsia="宋体" w:cs="宋体"/>
          <w:sz w:val="24"/>
        </w:rPr>
        <w:t>(</w:t>
      </w:r>
      <w:r>
        <w:rPr>
          <w:rFonts w:hint="eastAsia" w:ascii="宋体" w:hAnsi="宋体" w:eastAsia="宋体" w:cs="宋体"/>
          <w:sz w:val="24"/>
        </w:rPr>
        <w:t>1</w:t>
      </w:r>
      <w:r>
        <w:rPr>
          <w:rFonts w:ascii="宋体" w:hAnsi="宋体" w:eastAsia="宋体" w:cs="宋体"/>
          <w:sz w:val="24"/>
        </w:rPr>
        <w:t>)正常运行模式</w:t>
      </w:r>
    </w:p>
    <w:p>
      <w:pPr>
        <w:spacing w:line="360" w:lineRule="auto"/>
        <w:ind w:firstLine="480"/>
        <w:rPr>
          <w:rFonts w:ascii="宋体" w:hAnsi="宋体" w:eastAsia="宋体" w:cs="宋体"/>
          <w:sz w:val="24"/>
        </w:rPr>
      </w:pPr>
      <w:r>
        <w:rPr>
          <w:rFonts w:hint="eastAsia" w:ascii="宋体" w:hAnsi="宋体" w:eastAsia="宋体" w:cs="宋体"/>
          <w:sz w:val="24"/>
        </w:rPr>
        <w:t>当生产线正常生产前，TNV废气处理设备进入正常运行模式。蓄热氧化炉系统先通入新鲜空气，使蓄热氧化炉先进行升温，在生产线开始正常生产前完成升温。蓄热氧化炉完成升温则等待生产线开始工作。</w:t>
      </w:r>
    </w:p>
    <w:p>
      <w:pPr>
        <w:spacing w:line="360" w:lineRule="auto"/>
        <w:ind w:firstLine="480"/>
        <w:rPr>
          <w:rFonts w:ascii="宋体" w:hAnsi="宋体" w:eastAsia="宋体" w:cs="宋体"/>
          <w:sz w:val="24"/>
        </w:rPr>
      </w:pPr>
      <w:r>
        <w:rPr>
          <w:rFonts w:hint="eastAsia" w:ascii="宋体" w:hAnsi="宋体" w:eastAsia="宋体" w:cs="宋体"/>
          <w:sz w:val="24"/>
        </w:rPr>
        <w:t>当车间开始生产时，通过TNV废气收集系统将生产线风平衡自动调整到设计要求，调整完毕后，开始涂装工作正式开始。正常运行模式下，设备无需人为干涉操作。系统将根据系统的参数设置，通过风机、阀门、温度、压力、湿度、浓度等监控值进行PLC自动控制。</w:t>
      </w:r>
    </w:p>
    <w:p>
      <w:pPr>
        <w:spacing w:line="360" w:lineRule="auto"/>
        <w:rPr>
          <w:rFonts w:ascii="宋体" w:hAnsi="宋体" w:eastAsia="宋体" w:cs="宋体"/>
          <w:sz w:val="24"/>
        </w:rPr>
      </w:pPr>
      <w:r>
        <w:rPr>
          <w:rFonts w:ascii="宋体" w:hAnsi="宋体" w:eastAsia="宋体" w:cs="宋体"/>
          <w:sz w:val="24"/>
        </w:rPr>
        <w:t>(2)</w:t>
      </w:r>
      <w:r>
        <w:rPr>
          <w:rFonts w:hint="eastAsia" w:ascii="宋体" w:hAnsi="宋体" w:eastAsia="宋体" w:cs="宋体"/>
          <w:sz w:val="24"/>
        </w:rPr>
        <w:t>紧急模式</w:t>
      </w:r>
    </w:p>
    <w:p>
      <w:pPr>
        <w:spacing w:line="360" w:lineRule="auto"/>
        <w:ind w:firstLine="480"/>
        <w:rPr>
          <w:rFonts w:ascii="宋体" w:hAnsi="宋体" w:eastAsia="宋体" w:cs="宋体"/>
          <w:sz w:val="24"/>
        </w:rPr>
      </w:pPr>
      <w:r>
        <w:rPr>
          <w:rFonts w:hint="eastAsia" w:ascii="宋体" w:hAnsi="宋体" w:eastAsia="宋体" w:cs="宋体"/>
          <w:sz w:val="24"/>
        </w:rPr>
        <w:t>当TNV废气治理系统出现紧急情况突然停车时，系统开启紧急模式。首先开启TNV系统中的应急排空阀门，当所有的应急排空阀门全部到位后。TNV系统的风机和阀门进入关停状态。保证废气从应急排空管道排放，保证生产线受影响的程度最小。</w:t>
      </w:r>
    </w:p>
    <w:p>
      <w:pPr>
        <w:spacing w:line="360" w:lineRule="auto"/>
        <w:rPr>
          <w:rFonts w:ascii="宋体" w:hAnsi="宋体" w:eastAsia="宋体" w:cs="宋体"/>
          <w:sz w:val="24"/>
        </w:rPr>
      </w:pPr>
      <w:r>
        <w:rPr>
          <w:rFonts w:ascii="宋体" w:hAnsi="宋体" w:eastAsia="宋体" w:cs="宋体"/>
          <w:sz w:val="24"/>
        </w:rPr>
        <w:t>(3)</w:t>
      </w:r>
      <w:r>
        <w:rPr>
          <w:rFonts w:hint="eastAsia" w:ascii="宋体" w:hAnsi="宋体" w:eastAsia="宋体" w:cs="宋体"/>
          <w:sz w:val="24"/>
        </w:rPr>
        <w:t>节能模式</w:t>
      </w:r>
    </w:p>
    <w:p>
      <w:pPr>
        <w:spacing w:line="360" w:lineRule="auto"/>
        <w:ind w:firstLine="480"/>
        <w:rPr>
          <w:rFonts w:ascii="宋体" w:hAnsi="宋体" w:eastAsia="宋体" w:cs="宋体"/>
          <w:sz w:val="24"/>
        </w:rPr>
      </w:pPr>
      <w:r>
        <w:rPr>
          <w:rFonts w:hint="eastAsia" w:ascii="宋体" w:hAnsi="宋体" w:eastAsia="宋体" w:cs="宋体"/>
          <w:sz w:val="24"/>
        </w:rPr>
        <w:t>根据生产线交替生产的实际工况，同时生产过程中出现间歇的情况。TNV系统设置节能模式。当中午间隙换班开始时，保持TNV空车运行。减少能源消耗。当换班结束后，可迅速恢复到正常生产的状态。</w:t>
      </w:r>
    </w:p>
    <w:p>
      <w:pPr>
        <w:spacing w:line="360" w:lineRule="auto"/>
        <w:ind w:firstLine="480"/>
        <w:rPr>
          <w:rFonts w:ascii="宋体" w:hAnsi="宋体" w:eastAsia="宋体" w:cs="宋体"/>
          <w:sz w:val="24"/>
        </w:rPr>
      </w:pPr>
      <w:r>
        <w:rPr>
          <w:rFonts w:hint="eastAsia" w:ascii="宋体" w:hAnsi="宋体" w:eastAsia="宋体" w:cs="宋体"/>
          <w:sz w:val="24"/>
        </w:rPr>
        <w:t>当换班间隙超过8h，此时建议进行保温停车节能模式。TNV炉膛仅进行5~8分钟的吹扫置换，然后整套设备停车。当第二次进行启动时，可大大减小冷启动时间，减少能耗需求。</w:t>
      </w:r>
    </w:p>
    <w:p>
      <w:pPr>
        <w:spacing w:line="360" w:lineRule="auto"/>
        <w:rPr>
          <w:rFonts w:ascii="宋体" w:hAnsi="宋体" w:eastAsia="宋体" w:cs="宋体"/>
          <w:sz w:val="24"/>
        </w:rPr>
      </w:pPr>
      <w:r>
        <w:rPr>
          <w:rFonts w:ascii="宋体" w:hAnsi="宋体" w:eastAsia="宋体" w:cs="宋体"/>
          <w:sz w:val="24"/>
        </w:rPr>
        <w:t>(4)</w:t>
      </w:r>
      <w:r>
        <w:rPr>
          <w:rFonts w:hint="eastAsia" w:ascii="宋体" w:hAnsi="宋体" w:eastAsia="宋体" w:cs="宋体"/>
          <w:sz w:val="24"/>
        </w:rPr>
        <w:t>手动模式</w:t>
      </w:r>
    </w:p>
    <w:p>
      <w:pPr>
        <w:spacing w:line="360" w:lineRule="auto"/>
        <w:ind w:firstLine="480"/>
        <w:rPr>
          <w:rFonts w:ascii="宋体" w:hAnsi="宋体" w:eastAsia="宋体" w:cs="宋体"/>
          <w:sz w:val="24"/>
        </w:rPr>
      </w:pPr>
      <w:r>
        <w:rPr>
          <w:rFonts w:hint="eastAsia" w:ascii="宋体" w:hAnsi="宋体" w:eastAsia="宋体" w:cs="宋体"/>
          <w:sz w:val="24"/>
        </w:rPr>
        <w:t>整套系统的单体设备：风机、阀门、TNV等均可独立手动开启及关闭，但是该模式一般只用于维护检修时使用。</w:t>
      </w:r>
    </w:p>
    <w:p>
      <w:pPr>
        <w:pStyle w:val="6"/>
        <w:spacing w:before="0" w:after="0" w:line="360" w:lineRule="auto"/>
        <w:rPr>
          <w:rFonts w:ascii="宋体" w:hAnsi="宋体"/>
          <w:b w:val="0"/>
          <w:bCs w:val="0"/>
          <w:sz w:val="24"/>
          <w:szCs w:val="24"/>
        </w:rPr>
      </w:pPr>
      <w:r>
        <w:rPr>
          <w:rFonts w:ascii="宋体" w:hAnsi="宋体"/>
          <w:b w:val="0"/>
          <w:bCs w:val="0"/>
          <w:sz w:val="24"/>
          <w:szCs w:val="24"/>
        </w:rPr>
        <w:t>3.4.8安全措施</w:t>
      </w:r>
    </w:p>
    <w:p>
      <w:pPr>
        <w:spacing w:line="360" w:lineRule="auto"/>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TNV</w:t>
      </w:r>
      <w:r>
        <w:rPr>
          <w:rFonts w:ascii="宋体" w:hAnsi="宋体" w:eastAsia="宋体" w:cs="宋体"/>
          <w:sz w:val="24"/>
        </w:rPr>
        <w:t>高温及高压泄放</w:t>
      </w:r>
    </w:p>
    <w:p>
      <w:pPr>
        <w:spacing w:line="360" w:lineRule="auto"/>
        <w:ind w:left="1" w:firstLine="600" w:firstLineChars="250"/>
        <w:rPr>
          <w:rFonts w:ascii="宋体" w:hAnsi="宋体" w:eastAsia="宋体" w:cs="宋体"/>
          <w:sz w:val="24"/>
        </w:rPr>
      </w:pPr>
      <w:r>
        <w:rPr>
          <w:rFonts w:ascii="宋体" w:hAnsi="宋体" w:eastAsia="宋体" w:cs="宋体"/>
          <w:sz w:val="24"/>
        </w:rPr>
        <w:t>当</w:t>
      </w:r>
      <w:r>
        <w:rPr>
          <w:rFonts w:hint="eastAsia" w:ascii="宋体" w:hAnsi="宋体" w:eastAsia="宋体" w:cs="宋体"/>
          <w:sz w:val="24"/>
        </w:rPr>
        <w:t>TNV</w:t>
      </w:r>
      <w:r>
        <w:rPr>
          <w:rFonts w:ascii="宋体" w:hAnsi="宋体" w:eastAsia="宋体" w:cs="宋体"/>
          <w:sz w:val="24"/>
        </w:rPr>
        <w:t>炉内高温超过850℃时，系统停止加热；当温度超过950℃时，高温阀门旁路开启，过多的热量直接排放至大气中，保护</w:t>
      </w:r>
      <w:r>
        <w:rPr>
          <w:rFonts w:hint="eastAsia" w:ascii="宋体" w:hAnsi="宋体" w:eastAsia="宋体" w:cs="宋体"/>
          <w:sz w:val="24"/>
        </w:rPr>
        <w:t>TNV</w:t>
      </w:r>
      <w:r>
        <w:rPr>
          <w:rFonts w:ascii="宋体" w:hAnsi="宋体" w:eastAsia="宋体" w:cs="宋体"/>
          <w:sz w:val="24"/>
        </w:rPr>
        <w:t>炉安全运行。</w:t>
      </w:r>
    </w:p>
    <w:p>
      <w:pPr>
        <w:spacing w:line="360" w:lineRule="auto"/>
        <w:ind w:left="1" w:firstLine="600" w:firstLineChars="250"/>
        <w:rPr>
          <w:rFonts w:ascii="宋体" w:hAnsi="宋体" w:eastAsia="宋体" w:cs="宋体"/>
          <w:sz w:val="24"/>
        </w:rPr>
      </w:pPr>
      <w:r>
        <w:rPr>
          <w:rFonts w:ascii="宋体" w:hAnsi="宋体" w:eastAsia="宋体" w:cs="宋体"/>
          <w:sz w:val="24"/>
        </w:rPr>
        <w:t>在异常状态下，若</w:t>
      </w:r>
      <w:r>
        <w:rPr>
          <w:rFonts w:hint="eastAsia" w:ascii="宋体" w:hAnsi="宋体" w:eastAsia="宋体" w:cs="宋体"/>
          <w:sz w:val="24"/>
        </w:rPr>
        <w:t>TNV</w:t>
      </w:r>
      <w:r>
        <w:rPr>
          <w:rFonts w:ascii="宋体" w:hAnsi="宋体" w:eastAsia="宋体" w:cs="宋体"/>
          <w:sz w:val="24"/>
        </w:rPr>
        <w:t>或者风机出现异常导致压力剧增，泄爆片会自动泄爆，减少对系统设备的损坏。根据HG/T20570.3《爆破片的设置和选用》，在</w:t>
      </w:r>
      <w:r>
        <w:rPr>
          <w:rFonts w:hint="eastAsia" w:ascii="宋体" w:hAnsi="宋体" w:eastAsia="宋体" w:cs="宋体"/>
          <w:sz w:val="24"/>
        </w:rPr>
        <w:t>TNV</w:t>
      </w:r>
      <w:r>
        <w:rPr>
          <w:rFonts w:ascii="宋体" w:hAnsi="宋体" w:eastAsia="宋体" w:cs="宋体"/>
          <w:sz w:val="24"/>
        </w:rPr>
        <w:t>炉体上也设有爆破片装置，由爆破片和夹持器等装配组成的压力泄放安全装置，当爆破片两侧的压力差达到预定温度下的预定值时，爆破片即刻动作，泄放出压力介质。</w:t>
      </w:r>
    </w:p>
    <w:p>
      <w:pPr>
        <w:spacing w:line="360" w:lineRule="auto"/>
        <w:rPr>
          <w:rFonts w:ascii="宋体" w:hAnsi="宋体" w:eastAsia="宋体" w:cs="宋体"/>
          <w:sz w:val="24"/>
        </w:rPr>
      </w:pPr>
      <w:r>
        <w:rPr>
          <w:rFonts w:ascii="宋体" w:hAnsi="宋体" w:eastAsia="宋体" w:cs="宋体"/>
          <w:sz w:val="24"/>
        </w:rPr>
        <w:t>(2）燃烧器的安全措施</w:t>
      </w:r>
    </w:p>
    <w:p>
      <w:pPr>
        <w:spacing w:line="360" w:lineRule="auto"/>
        <w:ind w:left="1" w:firstLine="600" w:firstLineChars="250"/>
        <w:rPr>
          <w:rFonts w:ascii="宋体" w:hAnsi="宋体" w:eastAsia="宋体" w:cs="宋体"/>
          <w:sz w:val="24"/>
        </w:rPr>
      </w:pPr>
      <w:r>
        <w:rPr>
          <w:rFonts w:ascii="宋体" w:hAnsi="宋体" w:eastAsia="宋体" w:cs="宋体"/>
          <w:sz w:val="24"/>
        </w:rPr>
        <w:t>选用MAXON的燃烧器并配置Honeywell的阀组串及程序控制，系统成熟可靠</w:t>
      </w:r>
      <w:r>
        <w:rPr>
          <w:rFonts w:hint="eastAsia" w:ascii="宋体" w:hAnsi="宋体" w:eastAsia="宋体" w:cs="宋体"/>
          <w:sz w:val="24"/>
        </w:rPr>
        <w:t>.</w:t>
      </w:r>
    </w:p>
    <w:p>
      <w:pPr>
        <w:spacing w:line="360" w:lineRule="auto"/>
        <w:ind w:left="1" w:firstLine="600" w:firstLineChars="250"/>
        <w:rPr>
          <w:rFonts w:ascii="宋体" w:hAnsi="宋体" w:eastAsia="宋体" w:cs="宋体"/>
          <w:sz w:val="24"/>
        </w:rPr>
      </w:pPr>
      <w:r>
        <w:rPr>
          <w:rFonts w:ascii="宋体" w:hAnsi="宋体" w:eastAsia="宋体" w:cs="宋体"/>
          <w:sz w:val="24"/>
        </w:rPr>
        <w:t>当系统出现任何不满足以下安全连锁条件下，一秒钟内关闭燃烧机系统，确保整个燃烧过程在安全的范围内工作。</w:t>
      </w:r>
    </w:p>
    <w:p>
      <w:pPr>
        <w:pStyle w:val="128"/>
        <w:numPr>
          <w:ilvl w:val="0"/>
          <w:numId w:val="15"/>
        </w:numPr>
        <w:autoSpaceDE w:val="0"/>
        <w:autoSpaceDN w:val="0"/>
        <w:adjustRightInd w:val="0"/>
        <w:spacing w:line="360" w:lineRule="auto"/>
        <w:ind w:left="284" w:firstLineChars="0"/>
        <w:jc w:val="left"/>
        <w:rPr>
          <w:rFonts w:ascii="宋体" w:hAnsi="宋体" w:eastAsia="宋体" w:cs="宋体"/>
          <w:sz w:val="24"/>
        </w:rPr>
      </w:pPr>
      <w:r>
        <w:rPr>
          <w:rFonts w:ascii="宋体" w:hAnsi="宋体" w:eastAsia="宋体" w:cs="宋体"/>
          <w:sz w:val="24"/>
        </w:rPr>
        <w:t>风压连锁：只有助燃风机启动，风压开关得到稳定的风压或压差信号，风压连锁才能通过。</w:t>
      </w:r>
    </w:p>
    <w:p>
      <w:pPr>
        <w:autoSpaceDE w:val="0"/>
        <w:autoSpaceDN w:val="0"/>
        <w:adjustRightInd w:val="0"/>
        <w:spacing w:line="360" w:lineRule="auto"/>
        <w:jc w:val="left"/>
        <w:rPr>
          <w:rFonts w:ascii="宋体" w:hAnsi="宋体" w:eastAsia="宋体" w:cs="宋体"/>
          <w:sz w:val="24"/>
        </w:rPr>
      </w:pPr>
      <w:r>
        <w:rPr>
          <w:rFonts w:hint="eastAsia" w:ascii="宋体" w:hAnsi="宋体" w:eastAsia="宋体" w:cs="宋体"/>
          <w:sz w:val="24"/>
        </w:rPr>
        <w:t>b</w:t>
      </w:r>
      <w:r>
        <w:rPr>
          <w:rFonts w:ascii="宋体" w:hAnsi="宋体" w:eastAsia="宋体" w:cs="宋体"/>
          <w:sz w:val="24"/>
        </w:rPr>
        <w:t>.燃气低压保护连锁：管路燃气压力过低时，低压保护开关常开点火会断开。</w:t>
      </w:r>
    </w:p>
    <w:p>
      <w:pPr>
        <w:autoSpaceDE w:val="0"/>
        <w:autoSpaceDN w:val="0"/>
        <w:adjustRightInd w:val="0"/>
        <w:spacing w:line="360" w:lineRule="auto"/>
        <w:jc w:val="left"/>
        <w:rPr>
          <w:rFonts w:ascii="宋体" w:hAnsi="宋体" w:eastAsia="宋体" w:cs="宋体"/>
          <w:sz w:val="24"/>
        </w:rPr>
      </w:pPr>
      <w:r>
        <w:rPr>
          <w:rFonts w:hint="eastAsia" w:ascii="宋体" w:hAnsi="宋体" w:eastAsia="宋体" w:cs="宋体"/>
          <w:sz w:val="24"/>
        </w:rPr>
        <w:t>c</w:t>
      </w:r>
      <w:r>
        <w:rPr>
          <w:rFonts w:ascii="宋体" w:hAnsi="宋体" w:eastAsia="宋体" w:cs="宋体"/>
          <w:sz w:val="24"/>
        </w:rPr>
        <w:t>.燃气高压保护连锁：管路中燃气压力过高时，高压保护开关常闭点火会断开。</w:t>
      </w:r>
    </w:p>
    <w:p>
      <w:pPr>
        <w:autoSpaceDE w:val="0"/>
        <w:autoSpaceDN w:val="0"/>
        <w:adjustRightInd w:val="0"/>
        <w:spacing w:line="360" w:lineRule="auto"/>
        <w:jc w:val="left"/>
        <w:rPr>
          <w:rFonts w:ascii="宋体" w:hAnsi="宋体" w:eastAsia="宋体" w:cs="宋体"/>
          <w:sz w:val="24"/>
        </w:rPr>
      </w:pPr>
      <w:r>
        <w:rPr>
          <w:rFonts w:hint="eastAsia" w:ascii="宋体" w:hAnsi="宋体" w:eastAsia="宋体" w:cs="宋体"/>
          <w:sz w:val="24"/>
        </w:rPr>
        <w:t>d</w:t>
      </w:r>
      <w:r>
        <w:rPr>
          <w:rFonts w:ascii="宋体" w:hAnsi="宋体" w:eastAsia="宋体" w:cs="宋体"/>
          <w:sz w:val="24"/>
        </w:rPr>
        <w:t>.风机连锁：连接风机的启动信号，循环风机启动后才能通过。</w:t>
      </w:r>
    </w:p>
    <w:p>
      <w:pPr>
        <w:autoSpaceDE w:val="0"/>
        <w:autoSpaceDN w:val="0"/>
        <w:adjustRightInd w:val="0"/>
        <w:spacing w:line="360" w:lineRule="auto"/>
        <w:jc w:val="left"/>
        <w:rPr>
          <w:rFonts w:ascii="宋体" w:hAnsi="宋体" w:eastAsia="宋体" w:cs="宋体"/>
          <w:sz w:val="24"/>
        </w:rPr>
      </w:pPr>
      <w:r>
        <w:rPr>
          <w:rFonts w:hint="eastAsia" w:ascii="宋体" w:hAnsi="宋体" w:eastAsia="宋体" w:cs="宋体"/>
          <w:sz w:val="24"/>
        </w:rPr>
        <w:t>e</w:t>
      </w:r>
      <w:r>
        <w:rPr>
          <w:rFonts w:ascii="宋体" w:hAnsi="宋体" w:eastAsia="宋体" w:cs="宋体"/>
          <w:sz w:val="24"/>
        </w:rPr>
        <w:t>.超温连锁：系统的温度超过设定的保护温度时，高温开关常闭点会断开。阀门开关检测：只有关断阀在关闭状态下，检测才能通过，保证点小火时主管路中没有燃气通过。</w:t>
      </w:r>
    </w:p>
    <w:p>
      <w:pPr>
        <w:autoSpaceDE w:val="0"/>
        <w:autoSpaceDN w:val="0"/>
        <w:adjustRightInd w:val="0"/>
        <w:spacing w:line="360" w:lineRule="auto"/>
        <w:jc w:val="left"/>
        <w:rPr>
          <w:rFonts w:ascii="宋体" w:hAnsi="宋体" w:eastAsia="宋体" w:cs="宋体"/>
          <w:sz w:val="24"/>
        </w:rPr>
      </w:pPr>
      <w:r>
        <w:rPr>
          <w:rFonts w:hint="eastAsia" w:ascii="宋体" w:hAnsi="宋体" w:eastAsia="宋体" w:cs="宋体"/>
          <w:sz w:val="24"/>
        </w:rPr>
        <w:t>f</w:t>
      </w:r>
      <w:r>
        <w:rPr>
          <w:rFonts w:ascii="宋体" w:hAnsi="宋体" w:eastAsia="宋体" w:cs="宋体"/>
          <w:sz w:val="24"/>
        </w:rPr>
        <w:t>.燃气泄漏连锁：燃烧使用过程中或启动前，燃气检测传感器若感应到天然气存在，则连锁也不会通过。</w:t>
      </w:r>
    </w:p>
    <w:p>
      <w:pPr>
        <w:pStyle w:val="6"/>
        <w:spacing w:before="0" w:after="0" w:line="360" w:lineRule="auto"/>
        <w:rPr>
          <w:rFonts w:ascii="宋体" w:hAnsi="宋体"/>
          <w:b w:val="0"/>
          <w:bCs w:val="0"/>
          <w:sz w:val="24"/>
          <w:szCs w:val="24"/>
        </w:rPr>
      </w:pPr>
      <w:r>
        <w:rPr>
          <w:rFonts w:ascii="宋体" w:hAnsi="宋体"/>
          <w:b w:val="0"/>
          <w:bCs w:val="0"/>
          <w:sz w:val="24"/>
          <w:szCs w:val="24"/>
        </w:rPr>
        <w:t>3.4.9</w:t>
      </w:r>
      <w:r>
        <w:rPr>
          <w:rFonts w:hint="eastAsia" w:ascii="宋体" w:hAnsi="宋体"/>
          <w:b w:val="0"/>
          <w:bCs w:val="0"/>
          <w:sz w:val="24"/>
          <w:szCs w:val="24"/>
        </w:rPr>
        <w:t>电气及自控安全措施</w:t>
      </w:r>
    </w:p>
    <w:p>
      <w:pPr>
        <w:spacing w:line="360" w:lineRule="auto"/>
        <w:rPr>
          <w:rFonts w:ascii="宋体" w:hAnsi="宋体" w:eastAsia="宋体" w:cs="宋体"/>
          <w:sz w:val="24"/>
        </w:rPr>
      </w:pPr>
      <w:r>
        <w:rPr>
          <w:rFonts w:ascii="宋体" w:hAnsi="宋体" w:eastAsia="宋体" w:cs="宋体"/>
          <w:sz w:val="24"/>
        </w:rPr>
        <w:t>(1)电源：主电源380V±5%、3相、50HZ，采用三相五线制供电。</w:t>
      </w:r>
    </w:p>
    <w:p>
      <w:pPr>
        <w:spacing w:line="360" w:lineRule="auto"/>
        <w:ind w:firstLine="480"/>
        <w:rPr>
          <w:rFonts w:ascii="宋体" w:hAnsi="宋体" w:eastAsia="宋体" w:cs="宋体"/>
          <w:sz w:val="24"/>
        </w:rPr>
      </w:pPr>
      <w:r>
        <w:rPr>
          <w:rFonts w:ascii="宋体" w:hAnsi="宋体" w:eastAsia="宋体" w:cs="宋体"/>
          <w:sz w:val="24"/>
        </w:rPr>
        <w:t>项目电控系统设计是以PLC自动控制为核心，包括人机界面操作中心、安全联锁、声光报警等，并配置适当的指示灯和控制按钮为辅助。</w:t>
      </w:r>
    </w:p>
    <w:p>
      <w:pPr>
        <w:spacing w:line="360" w:lineRule="auto"/>
        <w:rPr>
          <w:rFonts w:ascii="宋体" w:hAnsi="宋体" w:eastAsia="宋体" w:cs="宋体"/>
          <w:sz w:val="24"/>
        </w:rPr>
      </w:pPr>
      <w:r>
        <w:rPr>
          <w:rFonts w:ascii="宋体" w:hAnsi="宋体" w:eastAsia="宋体" w:cs="宋体"/>
          <w:sz w:val="24"/>
        </w:rPr>
        <w:t>(2)根据工艺要求改变控制参数。</w:t>
      </w:r>
    </w:p>
    <w:p>
      <w:pPr>
        <w:spacing w:line="360" w:lineRule="auto"/>
        <w:rPr>
          <w:rFonts w:ascii="宋体" w:hAnsi="宋体" w:eastAsia="宋体" w:cs="宋体"/>
          <w:sz w:val="24"/>
        </w:rPr>
      </w:pPr>
      <w:r>
        <w:rPr>
          <w:rFonts w:ascii="宋体" w:hAnsi="宋体" w:eastAsia="宋体" w:cs="宋体"/>
          <w:sz w:val="24"/>
        </w:rPr>
        <w:t>(3)自动运行时具有连锁功能。</w:t>
      </w:r>
    </w:p>
    <w:p>
      <w:pPr>
        <w:spacing w:line="360" w:lineRule="auto"/>
        <w:rPr>
          <w:rFonts w:ascii="宋体" w:hAnsi="宋体" w:eastAsia="宋体" w:cs="宋体"/>
          <w:sz w:val="24"/>
        </w:rPr>
      </w:pPr>
      <w:r>
        <w:rPr>
          <w:rFonts w:ascii="宋体" w:hAnsi="宋体" w:eastAsia="宋体" w:cs="宋体"/>
          <w:sz w:val="24"/>
        </w:rPr>
        <w:t>(4)自动运行时可根据工艺条件退出运行</w:t>
      </w:r>
    </w:p>
    <w:p>
      <w:pPr>
        <w:spacing w:line="360" w:lineRule="auto"/>
        <w:rPr>
          <w:rFonts w:ascii="宋体" w:hAnsi="宋体" w:eastAsia="宋体" w:cs="宋体"/>
          <w:sz w:val="24"/>
        </w:rPr>
      </w:pPr>
      <w:r>
        <w:rPr>
          <w:rFonts w:ascii="宋体" w:hAnsi="宋体" w:eastAsia="宋体" w:cs="宋体"/>
          <w:sz w:val="24"/>
        </w:rPr>
        <w:t>(5)系统具有自我诊断功能，运行时出现的异常情况可报警及自动停机。</w:t>
      </w:r>
    </w:p>
    <w:p>
      <w:pPr>
        <w:spacing w:line="360" w:lineRule="auto"/>
        <w:rPr>
          <w:rFonts w:ascii="宋体" w:hAnsi="宋体" w:eastAsia="宋体" w:cs="宋体"/>
          <w:sz w:val="24"/>
        </w:rPr>
      </w:pPr>
      <w:r>
        <w:rPr>
          <w:rFonts w:ascii="宋体" w:hAnsi="宋体" w:eastAsia="宋体" w:cs="宋体"/>
          <w:sz w:val="24"/>
        </w:rPr>
        <w:t>(6)系统运行时采用PLC程序全自动控制，且具有记忆功能，当系统停运后再启动时可根据上次的运行状态自动选择运行模式。</w:t>
      </w:r>
    </w:p>
    <w:p>
      <w:pPr>
        <w:spacing w:line="360" w:lineRule="auto"/>
        <w:rPr>
          <w:rFonts w:ascii="宋体" w:hAnsi="宋体" w:eastAsia="宋体" w:cs="宋体"/>
          <w:sz w:val="24"/>
        </w:rPr>
      </w:pPr>
      <w:r>
        <w:rPr>
          <w:rFonts w:ascii="宋体" w:hAnsi="宋体" w:eastAsia="宋体" w:cs="宋体"/>
          <w:sz w:val="24"/>
        </w:rPr>
        <w:t>(7)控制柜的设计原则：</w:t>
      </w:r>
    </w:p>
    <w:p>
      <w:pPr>
        <w:spacing w:line="360" w:lineRule="auto"/>
        <w:ind w:firstLine="360" w:firstLineChars="150"/>
        <w:rPr>
          <w:rFonts w:ascii="宋体" w:hAnsi="宋体" w:eastAsia="宋体" w:cs="宋体"/>
          <w:sz w:val="24"/>
        </w:rPr>
      </w:pPr>
      <w:r>
        <w:rPr>
          <w:rFonts w:hint="eastAsia" w:ascii="宋体" w:hAnsi="宋体" w:eastAsia="宋体" w:cs="宋体"/>
          <w:sz w:val="24"/>
        </w:rPr>
        <w:t>a</w:t>
      </w:r>
      <w:r>
        <w:rPr>
          <w:rFonts w:ascii="宋体" w:hAnsi="宋体" w:eastAsia="宋体" w:cs="宋体"/>
          <w:sz w:val="24"/>
        </w:rPr>
        <w:t>.为了保持柜内温度低于各元件允许的最高温度，提供强制的通风；风扇电源为220V，50HZ，风扇有防护手指免受伤害措施，噪声满足相关标准要求，风扇设计可拆清洗式的滤网。</w:t>
      </w:r>
    </w:p>
    <w:p>
      <w:pPr>
        <w:spacing w:line="360" w:lineRule="auto"/>
        <w:ind w:firstLine="360" w:firstLineChars="150"/>
        <w:rPr>
          <w:rFonts w:ascii="宋体" w:hAnsi="宋体" w:eastAsia="宋体" w:cs="宋体"/>
          <w:sz w:val="24"/>
        </w:rPr>
      </w:pPr>
      <w:r>
        <w:rPr>
          <w:rFonts w:hint="eastAsia" w:ascii="宋体" w:hAnsi="宋体" w:eastAsia="宋体" w:cs="宋体"/>
          <w:sz w:val="24"/>
        </w:rPr>
        <w:t>b</w:t>
      </w:r>
      <w:r>
        <w:rPr>
          <w:rFonts w:ascii="宋体" w:hAnsi="宋体" w:eastAsia="宋体" w:cs="宋体"/>
          <w:sz w:val="24"/>
        </w:rPr>
        <w:t>.控制柜留有20％安装空间，以备将来增加元件之用，控制柜内的结构和所有内部连线符合有关标准的具体要求。</w:t>
      </w:r>
    </w:p>
    <w:p>
      <w:pPr>
        <w:adjustRightInd w:val="0"/>
        <w:snapToGrid w:val="0"/>
        <w:spacing w:line="360" w:lineRule="auto"/>
        <w:ind w:firstLine="360" w:firstLineChars="150"/>
        <w:rPr>
          <w:rFonts w:ascii="宋体" w:hAnsi="宋体" w:eastAsia="宋体" w:cs="宋体"/>
          <w:sz w:val="24"/>
        </w:rPr>
      </w:pPr>
      <w:r>
        <w:rPr>
          <w:rFonts w:ascii="宋体" w:hAnsi="宋体" w:eastAsia="宋体" w:cs="宋体"/>
          <w:sz w:val="24"/>
        </w:rPr>
        <w:t>c</w:t>
      </w:r>
      <w:r>
        <w:rPr>
          <w:rFonts w:hint="eastAsia" w:ascii="宋体" w:hAnsi="宋体" w:eastAsia="宋体" w:cs="宋体"/>
          <w:sz w:val="24"/>
        </w:rPr>
        <w:t>.</w:t>
      </w:r>
      <w:r>
        <w:rPr>
          <w:rFonts w:ascii="宋体" w:hAnsi="宋体" w:eastAsia="宋体" w:cs="宋体"/>
          <w:sz w:val="24"/>
        </w:rPr>
        <w:t>电控柜面板和各操作站面板都设置急停按钮，操作工位配置急停按钮。</w:t>
      </w:r>
    </w:p>
    <w:p>
      <w:pPr>
        <w:pStyle w:val="6"/>
        <w:spacing w:before="0" w:after="0" w:line="360" w:lineRule="auto"/>
        <w:rPr>
          <w:rFonts w:ascii="宋体" w:hAnsi="宋体"/>
          <w:b w:val="0"/>
          <w:bCs w:val="0"/>
          <w:sz w:val="24"/>
          <w:szCs w:val="24"/>
        </w:rPr>
      </w:pPr>
      <w:r>
        <w:rPr>
          <w:rFonts w:ascii="宋体" w:hAnsi="宋体"/>
          <w:b w:val="0"/>
          <w:bCs w:val="0"/>
          <w:sz w:val="24"/>
          <w:szCs w:val="24"/>
        </w:rPr>
        <w:t>3.4.10 PLC主要控制点位：</w:t>
      </w:r>
    </w:p>
    <w:p>
      <w:pPr>
        <w:spacing w:line="360" w:lineRule="auto"/>
        <w:rPr>
          <w:rFonts w:ascii="宋体" w:hAnsi="宋体" w:eastAsia="宋体" w:cs="宋体"/>
          <w:sz w:val="24"/>
        </w:rPr>
      </w:pPr>
      <w:r>
        <w:rPr>
          <w:rFonts w:ascii="宋体" w:hAnsi="宋体" w:eastAsia="宋体" w:cs="宋体"/>
          <w:sz w:val="24"/>
        </w:rPr>
        <w:t>（1）进出风单元控制</w:t>
      </w:r>
    </w:p>
    <w:p>
      <w:pPr>
        <w:spacing w:line="360" w:lineRule="auto"/>
        <w:ind w:firstLine="360" w:firstLineChars="150"/>
        <w:rPr>
          <w:rFonts w:ascii="宋体" w:hAnsi="宋体" w:eastAsia="宋体" w:cs="宋体"/>
          <w:sz w:val="24"/>
        </w:rPr>
      </w:pPr>
      <w:r>
        <w:rPr>
          <w:rFonts w:ascii="宋体" w:hAnsi="宋体" w:eastAsia="宋体" w:cs="宋体"/>
          <w:sz w:val="24"/>
        </w:rPr>
        <w:t>系统吸附/脱附作业时，控制设备进/出风口阀门，及时反馈数字信号，同时控制吸附/脱附风机的启停。</w:t>
      </w:r>
    </w:p>
    <w:p>
      <w:pPr>
        <w:spacing w:line="360" w:lineRule="auto"/>
        <w:rPr>
          <w:rFonts w:ascii="宋体" w:hAnsi="宋体" w:eastAsia="宋体" w:cs="宋体"/>
          <w:sz w:val="24"/>
        </w:rPr>
      </w:pPr>
      <w:r>
        <w:rPr>
          <w:rFonts w:ascii="宋体" w:hAnsi="宋体" w:eastAsia="宋体" w:cs="宋体"/>
          <w:sz w:val="24"/>
        </w:rPr>
        <w:t>（2）燃烧单元控制</w:t>
      </w:r>
    </w:p>
    <w:p>
      <w:pPr>
        <w:spacing w:line="360" w:lineRule="auto"/>
        <w:ind w:firstLine="360" w:firstLineChars="150"/>
        <w:rPr>
          <w:rFonts w:ascii="宋体" w:hAnsi="宋体" w:eastAsia="宋体" w:cs="宋体"/>
          <w:sz w:val="24"/>
        </w:rPr>
      </w:pPr>
      <w:r>
        <w:rPr>
          <w:rFonts w:ascii="宋体" w:hAnsi="宋体" w:eastAsia="宋体" w:cs="宋体"/>
          <w:sz w:val="24"/>
        </w:rPr>
        <w:t>燃烧炉自动升温控制以及内部温度、压力、高温阀连锁控制。</w:t>
      </w:r>
    </w:p>
    <w:p>
      <w:pPr>
        <w:spacing w:line="360" w:lineRule="auto"/>
        <w:rPr>
          <w:rFonts w:ascii="宋体" w:hAnsi="宋体" w:eastAsia="宋体" w:cs="宋体"/>
          <w:sz w:val="24"/>
        </w:rPr>
      </w:pPr>
      <w:r>
        <w:rPr>
          <w:rFonts w:ascii="宋体" w:hAnsi="宋体" w:eastAsia="宋体" w:cs="宋体"/>
          <w:sz w:val="24"/>
        </w:rPr>
        <w:t>（3）报警控制</w:t>
      </w:r>
    </w:p>
    <w:p>
      <w:pPr>
        <w:spacing w:line="360" w:lineRule="auto"/>
        <w:ind w:firstLine="360" w:firstLineChars="150"/>
        <w:rPr>
          <w:rFonts w:ascii="宋体" w:hAnsi="宋体" w:eastAsia="宋体" w:cs="宋体"/>
          <w:sz w:val="24"/>
        </w:rPr>
      </w:pPr>
      <w:r>
        <w:rPr>
          <w:rFonts w:ascii="宋体" w:hAnsi="宋体" w:eastAsia="宋体" w:cs="宋体"/>
          <w:sz w:val="24"/>
        </w:rPr>
        <w:t>当系统内部温度、压力超出设定范围时，系统会进行相应的连锁反应包括声光报警、强制关闭系统、启动应急处理单元等。</w:t>
      </w:r>
    </w:p>
    <w:p>
      <w:pPr>
        <w:spacing w:line="360" w:lineRule="auto"/>
        <w:rPr>
          <w:rFonts w:ascii="宋体" w:hAnsi="宋体" w:eastAsia="宋体" w:cs="宋体"/>
          <w:sz w:val="24"/>
        </w:rPr>
      </w:pPr>
      <w:r>
        <w:rPr>
          <w:rFonts w:ascii="宋体" w:hAnsi="宋体" w:eastAsia="宋体" w:cs="宋体"/>
          <w:sz w:val="24"/>
        </w:rPr>
        <w:t>(4)在失电情况下的保护措施：</w:t>
      </w:r>
    </w:p>
    <w:p>
      <w:pPr>
        <w:spacing w:line="360" w:lineRule="auto"/>
        <w:ind w:firstLine="360" w:firstLineChars="150"/>
        <w:rPr>
          <w:rFonts w:ascii="宋体" w:hAnsi="宋体" w:eastAsia="宋体" w:cs="宋体"/>
          <w:sz w:val="24"/>
        </w:rPr>
      </w:pPr>
      <w:r>
        <w:rPr>
          <w:rFonts w:hint="eastAsia" w:ascii="宋体" w:hAnsi="宋体" w:eastAsia="宋体" w:cs="宋体"/>
          <w:sz w:val="24"/>
        </w:rPr>
        <w:t>a</w:t>
      </w:r>
      <w:r>
        <w:rPr>
          <w:rFonts w:ascii="宋体" w:hAnsi="宋体" w:eastAsia="宋体" w:cs="宋体"/>
          <w:sz w:val="24"/>
        </w:rPr>
        <w:t>.电源切断或设备急停时，为避免设备损坏或人身伤害，设备运动执行元件不会有任何运动。</w:t>
      </w:r>
    </w:p>
    <w:p>
      <w:pPr>
        <w:spacing w:line="360" w:lineRule="auto"/>
        <w:ind w:firstLine="360" w:firstLineChars="150"/>
        <w:rPr>
          <w:rFonts w:ascii="宋体" w:hAnsi="宋体" w:eastAsia="宋体" w:cs="宋体"/>
          <w:sz w:val="24"/>
        </w:rPr>
      </w:pPr>
      <w:r>
        <w:rPr>
          <w:rFonts w:hint="eastAsia" w:ascii="宋体" w:hAnsi="宋体" w:eastAsia="宋体" w:cs="宋体"/>
          <w:sz w:val="24"/>
        </w:rPr>
        <w:t>b</w:t>
      </w:r>
      <w:r>
        <w:rPr>
          <w:rFonts w:ascii="宋体" w:hAnsi="宋体" w:eastAsia="宋体" w:cs="宋体"/>
          <w:sz w:val="24"/>
        </w:rPr>
        <w:t>.电控系统及元件能够适应工厂电网上的电压偏差、波动±5%、闪变和各种谐波及脉冲干扰。</w:t>
      </w:r>
    </w:p>
    <w:p>
      <w:pPr>
        <w:spacing w:line="360" w:lineRule="auto"/>
        <w:ind w:firstLine="360" w:firstLineChars="150"/>
        <w:rPr>
          <w:rFonts w:ascii="宋体" w:hAnsi="宋体" w:eastAsia="宋体" w:cs="宋体"/>
          <w:sz w:val="24"/>
        </w:rPr>
      </w:pPr>
      <w:r>
        <w:rPr>
          <w:rFonts w:ascii="宋体" w:hAnsi="宋体" w:eastAsia="宋体" w:cs="宋体"/>
          <w:sz w:val="24"/>
        </w:rPr>
        <w:t>c</w:t>
      </w:r>
      <w:r>
        <w:rPr>
          <w:rFonts w:hint="eastAsia" w:ascii="宋体" w:hAnsi="宋体" w:eastAsia="宋体" w:cs="宋体"/>
          <w:sz w:val="24"/>
        </w:rPr>
        <w:t>.</w:t>
      </w:r>
      <w:r>
        <w:rPr>
          <w:rFonts w:ascii="宋体" w:hAnsi="宋体" w:eastAsia="宋体" w:cs="宋体"/>
          <w:sz w:val="24"/>
        </w:rPr>
        <w:t>供电系统有缺相、欠压时，该系统电源开关随之自动断电；在线路中其它电压干扰，或失电后，被中断的程序须能够重新启动运行。</w:t>
      </w:r>
    </w:p>
    <w:p>
      <w:pPr>
        <w:spacing w:line="360" w:lineRule="auto"/>
        <w:rPr>
          <w:rFonts w:ascii="宋体" w:hAnsi="宋体" w:eastAsia="宋体" w:cs="宋体"/>
          <w:sz w:val="24"/>
        </w:rPr>
      </w:pPr>
      <w:r>
        <w:rPr>
          <w:rFonts w:ascii="宋体" w:hAnsi="宋体" w:eastAsia="宋体" w:cs="宋体"/>
          <w:sz w:val="24"/>
        </w:rPr>
        <w:t>(5)用电设备的保护：</w:t>
      </w:r>
    </w:p>
    <w:p>
      <w:pPr>
        <w:spacing w:line="360" w:lineRule="auto"/>
        <w:ind w:firstLine="360" w:firstLineChars="150"/>
        <w:rPr>
          <w:rFonts w:ascii="宋体" w:hAnsi="宋体" w:eastAsia="宋体" w:cs="宋体"/>
          <w:sz w:val="24"/>
        </w:rPr>
      </w:pPr>
      <w:r>
        <w:rPr>
          <w:rFonts w:hint="eastAsia" w:ascii="宋体" w:hAnsi="宋体" w:eastAsia="宋体" w:cs="宋体"/>
          <w:sz w:val="24"/>
        </w:rPr>
        <w:t>a</w:t>
      </w:r>
      <w:r>
        <w:rPr>
          <w:rFonts w:ascii="宋体" w:hAnsi="宋体" w:eastAsia="宋体" w:cs="宋体"/>
          <w:sz w:val="24"/>
        </w:rPr>
        <w:t>.每条回路单独采用漏电、短路、过流保护装置，每条回路单独采用过载保护装置，禁止自动再次接通电源。</w:t>
      </w:r>
    </w:p>
    <w:p>
      <w:pPr>
        <w:spacing w:line="360" w:lineRule="auto"/>
        <w:ind w:firstLine="360" w:firstLineChars="150"/>
        <w:rPr>
          <w:rFonts w:ascii="宋体" w:hAnsi="宋体" w:eastAsia="宋体" w:cs="宋体"/>
          <w:sz w:val="24"/>
        </w:rPr>
      </w:pPr>
      <w:r>
        <w:rPr>
          <w:rFonts w:hint="eastAsia" w:ascii="宋体" w:hAnsi="宋体" w:eastAsia="宋体" w:cs="宋体"/>
          <w:sz w:val="24"/>
        </w:rPr>
        <w:t>b</w:t>
      </w:r>
      <w:r>
        <w:rPr>
          <w:rFonts w:ascii="宋体" w:hAnsi="宋体" w:eastAsia="宋体" w:cs="宋体"/>
          <w:sz w:val="24"/>
        </w:rPr>
        <w:t>.限位开关和各种保护开关装置，在回路中使用继电器去执行动作。</w:t>
      </w:r>
    </w:p>
    <w:p>
      <w:pPr>
        <w:pStyle w:val="6"/>
        <w:spacing w:before="0" w:after="0" w:line="360" w:lineRule="auto"/>
        <w:rPr>
          <w:rFonts w:ascii="宋体" w:hAnsi="宋体"/>
          <w:b w:val="0"/>
          <w:bCs w:val="0"/>
          <w:sz w:val="24"/>
          <w:szCs w:val="24"/>
        </w:rPr>
      </w:pPr>
      <w:r>
        <w:rPr>
          <w:rFonts w:ascii="宋体" w:hAnsi="宋体"/>
          <w:b w:val="0"/>
          <w:bCs w:val="0"/>
          <w:sz w:val="24"/>
          <w:szCs w:val="24"/>
        </w:rPr>
        <w:t>3.4.11</w:t>
      </w:r>
      <w:r>
        <w:rPr>
          <w:rFonts w:hint="eastAsia" w:ascii="宋体" w:hAnsi="宋体"/>
          <w:b w:val="0"/>
          <w:bCs w:val="0"/>
          <w:sz w:val="24"/>
          <w:szCs w:val="24"/>
        </w:rPr>
        <w:t>安装位置</w:t>
      </w:r>
    </w:p>
    <w:p>
      <w:pPr>
        <w:pStyle w:val="76"/>
        <w:spacing w:line="360" w:lineRule="auto"/>
        <w:ind w:firstLine="360" w:firstLineChars="150"/>
        <w:outlineLvl w:val="3"/>
        <w:rPr>
          <w:rFonts w:ascii="宋体" w:hAnsi="宋体" w:eastAsia="宋体" w:cs="宋体"/>
          <w:color w:val="auto"/>
        </w:rPr>
      </w:pPr>
      <w:r>
        <w:rPr>
          <w:rFonts w:hint="eastAsia" w:ascii="宋体" w:hAnsi="宋体" w:eastAsia="宋体" w:cs="宋体"/>
          <w:color w:val="auto"/>
        </w:rPr>
        <w:t>设备</w:t>
      </w:r>
      <w:r>
        <w:rPr>
          <w:rFonts w:ascii="宋体" w:hAnsi="宋体" w:eastAsia="宋体" w:cs="宋体"/>
          <w:color w:val="auto"/>
        </w:rPr>
        <w:t>安</w:t>
      </w:r>
      <w:r>
        <w:rPr>
          <w:rFonts w:hint="eastAsia" w:ascii="宋体" w:hAnsi="宋体" w:eastAsia="宋体" w:cs="宋体"/>
          <w:color w:val="auto"/>
        </w:rPr>
        <w:t>装</w:t>
      </w:r>
      <w:r>
        <w:rPr>
          <w:rFonts w:ascii="宋体" w:hAnsi="宋体" w:eastAsia="宋体" w:cs="宋体"/>
          <w:color w:val="auto"/>
        </w:rPr>
        <w:t>于室内，</w:t>
      </w:r>
      <w:r>
        <w:rPr>
          <w:rFonts w:hint="eastAsia" w:ascii="宋体" w:hAnsi="宋体" w:eastAsia="宋体" w:cs="宋体"/>
          <w:color w:val="auto"/>
        </w:rPr>
        <w:t>为</w:t>
      </w:r>
      <w:r>
        <w:rPr>
          <w:rFonts w:ascii="宋体" w:hAnsi="宋体" w:eastAsia="宋体" w:cs="宋体"/>
          <w:color w:val="auto"/>
        </w:rPr>
        <w:t>保</w:t>
      </w:r>
      <w:r>
        <w:rPr>
          <w:rFonts w:hint="eastAsia" w:ascii="宋体" w:hAnsi="宋体" w:eastAsia="宋体" w:cs="宋体"/>
          <w:color w:val="auto"/>
        </w:rPr>
        <w:t>证</w:t>
      </w:r>
      <w:r>
        <w:rPr>
          <w:rFonts w:ascii="宋体" w:hAnsi="宋体" w:eastAsia="宋体" w:cs="宋体"/>
          <w:color w:val="auto"/>
        </w:rPr>
        <w:t>物流</w:t>
      </w:r>
      <w:r>
        <w:rPr>
          <w:rFonts w:hint="eastAsia" w:ascii="宋体" w:hAnsi="宋体" w:eastAsia="宋体" w:cs="宋体"/>
          <w:color w:val="auto"/>
        </w:rPr>
        <w:t>畅</w:t>
      </w:r>
      <w:r>
        <w:rPr>
          <w:rFonts w:ascii="宋体" w:hAnsi="宋体" w:eastAsia="宋体" w:cs="宋体"/>
          <w:color w:val="auto"/>
        </w:rPr>
        <w:t>通，需</w:t>
      </w:r>
      <w:r>
        <w:rPr>
          <w:rFonts w:hint="eastAsia" w:ascii="宋体" w:hAnsi="宋体" w:eastAsia="宋体" w:cs="宋体"/>
          <w:color w:val="auto"/>
        </w:rPr>
        <w:t>单独搭建二层平台</w:t>
      </w:r>
    </w:p>
    <w:p>
      <w:pPr>
        <w:rPr>
          <w:rFonts w:ascii="宋体" w:hAnsi="宋体" w:eastAsia="宋体"/>
          <w:color w:val="000000"/>
          <w:sz w:val="24"/>
        </w:rPr>
      </w:pPr>
      <w:r>
        <w:rPr>
          <w:rFonts w:ascii="宋体" w:hAnsi="宋体" w:eastAsia="宋体"/>
          <w:color w:val="000000"/>
          <w:sz w:val="24"/>
        </w:rPr>
        <w:t>(1)</w:t>
      </w:r>
      <w:r>
        <w:rPr>
          <w:rFonts w:hint="eastAsia" w:ascii="宋体" w:hAnsi="宋体" w:eastAsia="宋体"/>
          <w:color w:val="000000"/>
          <w:sz w:val="24"/>
        </w:rPr>
        <w:t>平台</w:t>
      </w:r>
      <w:r>
        <w:rPr>
          <w:rFonts w:ascii="宋体" w:hAnsi="宋体" w:eastAsia="宋体"/>
          <w:color w:val="000000"/>
          <w:sz w:val="24"/>
        </w:rPr>
        <w:t>专用，设计为</w:t>
      </w:r>
      <w:r>
        <w:rPr>
          <w:rFonts w:hint="eastAsia" w:ascii="宋体" w:hAnsi="宋体" w:eastAsia="宋体"/>
          <w:color w:val="000000"/>
          <w:sz w:val="24"/>
        </w:rPr>
        <w:t>本</w:t>
      </w:r>
      <w:r>
        <w:rPr>
          <w:rFonts w:ascii="宋体" w:hAnsi="宋体" w:eastAsia="宋体"/>
          <w:color w:val="000000"/>
          <w:sz w:val="24"/>
        </w:rPr>
        <w:t>次废气处理</w:t>
      </w:r>
      <w:r>
        <w:rPr>
          <w:rFonts w:hint="eastAsia" w:ascii="宋体" w:hAnsi="宋体" w:eastAsia="宋体"/>
          <w:color w:val="000000"/>
          <w:sz w:val="24"/>
        </w:rPr>
        <w:t>设备</w:t>
      </w:r>
      <w:r>
        <w:rPr>
          <w:rFonts w:ascii="宋体" w:hAnsi="宋体" w:eastAsia="宋体"/>
          <w:color w:val="000000"/>
          <w:sz w:val="24"/>
        </w:rPr>
        <w:t>用功能</w:t>
      </w:r>
      <w:r>
        <w:rPr>
          <w:rFonts w:hint="eastAsia" w:ascii="宋体" w:hAnsi="宋体" w:eastAsia="宋体"/>
          <w:color w:val="000000"/>
          <w:sz w:val="24"/>
        </w:rPr>
        <w:t>，安装位置在现有检测平台北侧</w:t>
      </w:r>
      <w:r>
        <w:rPr>
          <w:rFonts w:ascii="宋体" w:hAnsi="宋体" w:eastAsia="宋体"/>
          <w:color w:val="000000"/>
          <w:sz w:val="24"/>
        </w:rPr>
        <w:t>。</w:t>
      </w:r>
    </w:p>
    <w:p>
      <w:pPr>
        <w:autoSpaceDE w:val="0"/>
        <w:autoSpaceDN w:val="0"/>
        <w:adjustRightInd w:val="0"/>
        <w:spacing w:line="360" w:lineRule="auto"/>
        <w:jc w:val="left"/>
        <w:rPr>
          <w:rFonts w:ascii="宋体" w:hAnsi="宋体" w:eastAsia="宋体"/>
          <w:sz w:val="24"/>
        </w:rPr>
      </w:pPr>
      <w:r>
        <w:rPr>
          <w:rFonts w:ascii="宋体" w:hAnsi="宋体" w:eastAsia="宋体"/>
          <w:color w:val="000000"/>
          <w:sz w:val="24"/>
        </w:rPr>
        <w:t>(2)</w:t>
      </w:r>
      <w:r>
        <w:rPr>
          <w:rFonts w:hint="eastAsia" w:ascii="宋体" w:hAnsi="宋体" w:eastAsia="宋体"/>
          <w:color w:val="000000"/>
          <w:sz w:val="24"/>
        </w:rPr>
        <w:t>平台为钢制结构，建在现场</w:t>
      </w:r>
      <w:r>
        <w:rPr>
          <w:rFonts w:ascii="宋体" w:hAnsi="宋体" w:eastAsia="宋体"/>
          <w:color w:val="000000"/>
          <w:sz w:val="24"/>
        </w:rPr>
        <w:t>物流通道上方，</w:t>
      </w:r>
      <w:r>
        <w:rPr>
          <w:rFonts w:hint="eastAsia" w:ascii="宋体" w:hAnsi="宋体" w:eastAsia="宋体"/>
          <w:color w:val="000000"/>
          <w:sz w:val="24"/>
        </w:rPr>
        <w:t>最</w:t>
      </w:r>
      <w:r>
        <w:rPr>
          <w:rFonts w:ascii="宋体" w:hAnsi="宋体" w:eastAsia="宋体"/>
          <w:color w:val="000000"/>
          <w:sz w:val="24"/>
        </w:rPr>
        <w:t>低处</w:t>
      </w:r>
      <w:r>
        <w:rPr>
          <w:rFonts w:hint="eastAsia" w:ascii="宋体" w:hAnsi="宋体" w:eastAsia="宋体"/>
          <w:color w:val="000000"/>
          <w:sz w:val="24"/>
        </w:rPr>
        <w:t>大于4</w:t>
      </w:r>
      <w:r>
        <w:rPr>
          <w:rFonts w:ascii="宋体" w:hAnsi="宋体" w:eastAsia="宋体"/>
          <w:color w:val="000000"/>
          <w:sz w:val="24"/>
        </w:rPr>
        <w:t>米，</w:t>
      </w:r>
      <w:r>
        <w:rPr>
          <w:rFonts w:hint="eastAsia" w:ascii="宋体" w:hAnsi="宋体" w:eastAsia="宋体"/>
          <w:color w:val="000000"/>
          <w:sz w:val="24"/>
        </w:rPr>
        <w:t>宽</w:t>
      </w:r>
      <w:r>
        <w:rPr>
          <w:rFonts w:ascii="宋体" w:hAnsi="宋体" w:eastAsia="宋体"/>
          <w:color w:val="000000"/>
          <w:sz w:val="24"/>
        </w:rPr>
        <w:t>度4</w:t>
      </w:r>
      <w:r>
        <w:rPr>
          <w:rFonts w:hint="eastAsia" w:ascii="宋体" w:hAnsi="宋体" w:eastAsia="宋体"/>
          <w:color w:val="000000"/>
          <w:sz w:val="24"/>
        </w:rPr>
        <w:t>米</w:t>
      </w:r>
      <w:r>
        <w:rPr>
          <w:rFonts w:ascii="宋体" w:hAnsi="宋体" w:eastAsia="宋体"/>
          <w:color w:val="000000"/>
          <w:sz w:val="24"/>
        </w:rPr>
        <w:t>以上</w:t>
      </w:r>
      <w:r>
        <w:rPr>
          <w:rFonts w:hint="eastAsia" w:ascii="宋体" w:hAnsi="宋体" w:eastAsia="宋体"/>
          <w:color w:val="000000"/>
          <w:sz w:val="24"/>
        </w:rPr>
        <w:t>，四</w:t>
      </w:r>
      <w:r>
        <w:rPr>
          <w:rFonts w:ascii="宋体" w:hAnsi="宋体" w:eastAsia="宋体"/>
          <w:color w:val="000000"/>
          <w:sz w:val="24"/>
        </w:rPr>
        <w:t>周</w:t>
      </w:r>
      <w:r>
        <w:rPr>
          <w:rFonts w:hint="eastAsia" w:ascii="宋体" w:hAnsi="宋体" w:eastAsia="宋体"/>
          <w:color w:val="000000"/>
          <w:sz w:val="24"/>
        </w:rPr>
        <w:t>围</w:t>
      </w:r>
      <w:r>
        <w:rPr>
          <w:rFonts w:ascii="宋体" w:hAnsi="宋体" w:eastAsia="宋体"/>
          <w:color w:val="000000"/>
          <w:sz w:val="24"/>
        </w:rPr>
        <w:t>栏</w:t>
      </w:r>
      <w:r>
        <w:rPr>
          <w:rFonts w:ascii="宋体" w:hAnsi="宋体" w:eastAsia="宋体"/>
          <w:sz w:val="24"/>
        </w:rPr>
        <w:t>，面积以设备</w:t>
      </w:r>
      <w:r>
        <w:rPr>
          <w:rFonts w:hint="eastAsia" w:ascii="宋体" w:hAnsi="宋体" w:eastAsia="宋体"/>
          <w:sz w:val="24"/>
        </w:rPr>
        <w:t>及附属</w:t>
      </w:r>
      <w:r>
        <w:rPr>
          <w:rFonts w:ascii="宋体" w:hAnsi="宋体" w:eastAsia="宋体"/>
          <w:sz w:val="24"/>
        </w:rPr>
        <w:t>设施为准</w:t>
      </w:r>
      <w:r>
        <w:rPr>
          <w:rFonts w:hint="eastAsia" w:ascii="宋体" w:hAnsi="宋体" w:eastAsia="宋体"/>
          <w:sz w:val="24"/>
        </w:rPr>
        <w:t>，</w:t>
      </w:r>
      <w:r>
        <w:rPr>
          <w:rFonts w:ascii="宋体" w:hAnsi="宋体" w:eastAsia="宋体"/>
          <w:sz w:val="24"/>
        </w:rPr>
        <w:t>并便于日常维修。</w:t>
      </w:r>
    </w:p>
    <w:p>
      <w:pPr>
        <w:pStyle w:val="15"/>
        <w:spacing w:after="156" w:line="360" w:lineRule="auto"/>
        <w:rPr>
          <w:rFonts w:ascii="宋体" w:hAnsi="宋体" w:eastAsia="宋体" w:cstheme="minorBidi"/>
          <w:color w:val="000000"/>
          <w:sz w:val="24"/>
          <w:szCs w:val="22"/>
        </w:rPr>
      </w:pPr>
      <w:r>
        <w:rPr>
          <w:rFonts w:ascii="宋体" w:hAnsi="宋体" w:eastAsia="宋体"/>
          <w:color w:val="000000"/>
          <w:sz w:val="24"/>
        </w:rPr>
        <w:t>(3)</w:t>
      </w:r>
      <w:r>
        <w:rPr>
          <w:rFonts w:hint="eastAsia" w:ascii="宋体" w:hAnsi="宋体" w:eastAsia="宋体" w:cstheme="minorBidi"/>
          <w:color w:val="000000"/>
          <w:sz w:val="24"/>
          <w:szCs w:val="22"/>
        </w:rPr>
        <w:t>现</w:t>
      </w:r>
      <w:r>
        <w:rPr>
          <w:rFonts w:ascii="宋体" w:hAnsi="宋体" w:eastAsia="宋体" w:cstheme="minorBidi"/>
          <w:color w:val="000000"/>
          <w:sz w:val="24"/>
          <w:szCs w:val="22"/>
        </w:rPr>
        <w:t>有</w:t>
      </w:r>
      <w:r>
        <w:rPr>
          <w:rFonts w:hint="eastAsia" w:ascii="宋体" w:hAnsi="宋体" w:eastAsia="宋体" w:cstheme="minorBidi"/>
          <w:color w:val="000000"/>
          <w:sz w:val="24"/>
          <w:szCs w:val="22"/>
        </w:rPr>
        <w:t>燃烧</w:t>
      </w:r>
      <w:r>
        <w:rPr>
          <w:rFonts w:ascii="宋体" w:hAnsi="宋体" w:eastAsia="宋体" w:cstheme="minorBidi"/>
          <w:color w:val="000000"/>
          <w:sz w:val="24"/>
          <w:szCs w:val="22"/>
        </w:rPr>
        <w:t>室烟囱</w:t>
      </w:r>
      <w:r>
        <w:rPr>
          <w:rFonts w:hint="eastAsia" w:ascii="宋体" w:hAnsi="宋体" w:eastAsia="宋体" w:cstheme="minorBidi"/>
          <w:color w:val="000000"/>
          <w:sz w:val="24"/>
          <w:szCs w:val="22"/>
        </w:rPr>
        <w:t>有检测</w:t>
      </w:r>
      <w:r>
        <w:rPr>
          <w:rFonts w:ascii="宋体" w:hAnsi="宋体" w:eastAsia="宋体" w:cstheme="minorBidi"/>
          <w:color w:val="000000"/>
          <w:sz w:val="24"/>
          <w:szCs w:val="22"/>
        </w:rPr>
        <w:t>用</w:t>
      </w:r>
      <w:r>
        <w:rPr>
          <w:rFonts w:hint="eastAsia" w:ascii="宋体" w:hAnsi="宋体" w:eastAsia="宋体" w:cstheme="minorBidi"/>
          <w:color w:val="000000"/>
          <w:sz w:val="24"/>
          <w:szCs w:val="22"/>
        </w:rPr>
        <w:t>人</w:t>
      </w:r>
      <w:r>
        <w:rPr>
          <w:rFonts w:ascii="宋体" w:hAnsi="宋体" w:eastAsia="宋体" w:cstheme="minorBidi"/>
          <w:color w:val="000000"/>
          <w:sz w:val="24"/>
          <w:szCs w:val="22"/>
        </w:rPr>
        <w:t>工采样</w:t>
      </w:r>
      <w:r>
        <w:rPr>
          <w:rFonts w:hint="eastAsia" w:ascii="宋体" w:hAnsi="宋体" w:eastAsia="宋体" w:cstheme="minorBidi"/>
          <w:color w:val="000000"/>
          <w:sz w:val="24"/>
          <w:szCs w:val="22"/>
        </w:rPr>
        <w:t>口及</w:t>
      </w:r>
      <w:r>
        <w:rPr>
          <w:rFonts w:ascii="宋体" w:hAnsi="宋体" w:eastAsia="宋体" w:cstheme="minorBidi"/>
          <w:color w:val="000000"/>
          <w:sz w:val="24"/>
          <w:szCs w:val="22"/>
        </w:rPr>
        <w:t>楼梯等设</w:t>
      </w:r>
      <w:r>
        <w:rPr>
          <w:rFonts w:hint="eastAsia" w:ascii="宋体" w:hAnsi="宋体" w:eastAsia="宋体" w:cstheme="minorBidi"/>
          <w:color w:val="000000"/>
          <w:sz w:val="24"/>
          <w:szCs w:val="22"/>
        </w:rPr>
        <w:t>施</w:t>
      </w:r>
      <w:r>
        <w:rPr>
          <w:rFonts w:ascii="宋体" w:hAnsi="宋体" w:eastAsia="宋体" w:cstheme="minorBidi"/>
          <w:color w:val="000000"/>
          <w:sz w:val="24"/>
          <w:szCs w:val="22"/>
        </w:rPr>
        <w:t>。本设备安装</w:t>
      </w:r>
      <w:r>
        <w:rPr>
          <w:rFonts w:hint="eastAsia" w:ascii="宋体" w:hAnsi="宋体" w:eastAsia="宋体" w:cstheme="minorBidi"/>
          <w:color w:val="000000"/>
          <w:sz w:val="24"/>
          <w:szCs w:val="22"/>
        </w:rPr>
        <w:t>时</w:t>
      </w:r>
      <w:r>
        <w:rPr>
          <w:rFonts w:ascii="宋体" w:hAnsi="宋体" w:eastAsia="宋体" w:cstheme="minorBidi"/>
          <w:color w:val="000000"/>
          <w:sz w:val="24"/>
          <w:szCs w:val="22"/>
        </w:rPr>
        <w:t>，</w:t>
      </w:r>
      <w:r>
        <w:rPr>
          <w:rFonts w:hint="eastAsia" w:ascii="宋体" w:hAnsi="宋体" w:eastAsia="宋体" w:cstheme="minorBidi"/>
          <w:color w:val="000000"/>
          <w:sz w:val="24"/>
          <w:szCs w:val="22"/>
        </w:rPr>
        <w:t>可</w:t>
      </w:r>
      <w:r>
        <w:rPr>
          <w:rFonts w:ascii="宋体" w:hAnsi="宋体" w:eastAsia="宋体" w:cstheme="minorBidi"/>
          <w:color w:val="000000"/>
          <w:sz w:val="24"/>
          <w:szCs w:val="22"/>
        </w:rPr>
        <w:t>借用改造现有</w:t>
      </w:r>
      <w:r>
        <w:rPr>
          <w:rFonts w:hint="eastAsia" w:ascii="宋体" w:hAnsi="宋体" w:eastAsia="宋体" w:cstheme="minorBidi"/>
          <w:color w:val="000000"/>
          <w:sz w:val="24"/>
          <w:szCs w:val="22"/>
        </w:rPr>
        <w:t>设施</w:t>
      </w:r>
      <w:r>
        <w:rPr>
          <w:rFonts w:ascii="宋体" w:hAnsi="宋体" w:eastAsia="宋体" w:cstheme="minorBidi"/>
          <w:color w:val="000000"/>
          <w:sz w:val="24"/>
          <w:szCs w:val="22"/>
        </w:rPr>
        <w:t>或自行建设，但烟囱</w:t>
      </w:r>
      <w:r>
        <w:rPr>
          <w:rFonts w:hint="eastAsia" w:ascii="宋体" w:hAnsi="宋体" w:eastAsia="宋体" w:cstheme="minorBidi"/>
          <w:color w:val="000000"/>
          <w:sz w:val="24"/>
          <w:szCs w:val="22"/>
        </w:rPr>
        <w:t>数量不允许增加，人</w:t>
      </w:r>
      <w:r>
        <w:rPr>
          <w:rFonts w:ascii="宋体" w:hAnsi="宋体" w:eastAsia="宋体" w:cstheme="minorBidi"/>
          <w:color w:val="000000"/>
          <w:sz w:val="24"/>
          <w:szCs w:val="22"/>
        </w:rPr>
        <w:t>工采样口</w:t>
      </w:r>
      <w:r>
        <w:rPr>
          <w:rFonts w:hint="eastAsia" w:ascii="宋体" w:hAnsi="宋体" w:eastAsia="宋体" w:cstheme="minorBidi"/>
          <w:color w:val="000000"/>
          <w:sz w:val="24"/>
          <w:szCs w:val="22"/>
        </w:rPr>
        <w:t>及在</w:t>
      </w:r>
      <w:r>
        <w:rPr>
          <w:rFonts w:ascii="宋体" w:hAnsi="宋体" w:eastAsia="宋体" w:cstheme="minorBidi"/>
          <w:color w:val="000000"/>
          <w:sz w:val="24"/>
          <w:szCs w:val="22"/>
        </w:rPr>
        <w:t>线检测口</w:t>
      </w:r>
      <w:r>
        <w:rPr>
          <w:rFonts w:hint="eastAsia" w:ascii="宋体" w:hAnsi="宋体" w:eastAsia="宋体" w:cstheme="minorBidi"/>
          <w:color w:val="000000"/>
          <w:sz w:val="24"/>
          <w:szCs w:val="22"/>
        </w:rPr>
        <w:t>必须</w:t>
      </w:r>
      <w:r>
        <w:rPr>
          <w:rFonts w:ascii="宋体" w:hAnsi="宋体" w:eastAsia="宋体" w:cstheme="minorBidi"/>
          <w:color w:val="000000"/>
          <w:sz w:val="24"/>
          <w:szCs w:val="22"/>
        </w:rPr>
        <w:t>要按相关标准预留。</w:t>
      </w:r>
    </w:p>
    <w:p>
      <w:pPr>
        <w:autoSpaceDE w:val="0"/>
        <w:autoSpaceDN w:val="0"/>
        <w:adjustRightInd w:val="0"/>
        <w:spacing w:line="360" w:lineRule="auto"/>
        <w:jc w:val="left"/>
        <w:rPr>
          <w:rFonts w:ascii="宋体" w:hAnsi="宋体" w:eastAsia="宋体"/>
          <w:sz w:val="24"/>
        </w:rPr>
      </w:pPr>
      <w:r>
        <w:rPr>
          <w:rFonts w:ascii="宋体" w:hAnsi="宋体" w:eastAsia="宋体"/>
          <w:color w:val="000000"/>
          <w:sz w:val="24"/>
        </w:rPr>
        <w:t>(4)</w:t>
      </w:r>
      <w:r>
        <w:rPr>
          <w:rFonts w:hint="eastAsia" w:ascii="宋体" w:hAnsi="宋体" w:eastAsia="宋体"/>
          <w:sz w:val="24"/>
        </w:rPr>
        <w:t>建设期间为不影响生产，中标厂家要进行模段化预制、安装，确保施工保洁。</w:t>
      </w:r>
    </w:p>
    <w:p>
      <w:pPr>
        <w:pStyle w:val="6"/>
        <w:spacing w:before="0" w:after="0" w:line="360" w:lineRule="auto"/>
        <w:rPr>
          <w:rFonts w:ascii="宋体" w:hAnsi="宋体"/>
          <w:b w:val="0"/>
          <w:bCs w:val="0"/>
          <w:sz w:val="24"/>
          <w:szCs w:val="24"/>
        </w:rPr>
      </w:pPr>
      <w:r>
        <w:rPr>
          <w:rFonts w:ascii="宋体" w:hAnsi="宋体"/>
          <w:b w:val="0"/>
          <w:bCs w:val="0"/>
          <w:sz w:val="24"/>
          <w:szCs w:val="24"/>
        </w:rPr>
        <w:t xml:space="preserve">3.5 </w:t>
      </w:r>
      <w:r>
        <w:rPr>
          <w:rFonts w:hint="eastAsia" w:ascii="宋体" w:hAnsi="宋体"/>
          <w:b w:val="0"/>
          <w:bCs w:val="0"/>
          <w:sz w:val="24"/>
          <w:szCs w:val="24"/>
        </w:rPr>
        <w:t>其他要求</w:t>
      </w:r>
    </w:p>
    <w:p>
      <w:pPr>
        <w:pStyle w:val="6"/>
        <w:spacing w:before="0" w:after="0" w:line="360" w:lineRule="auto"/>
        <w:rPr>
          <w:rFonts w:ascii="宋体" w:hAnsi="宋体"/>
          <w:b w:val="0"/>
          <w:bCs w:val="0"/>
          <w:sz w:val="24"/>
          <w:szCs w:val="24"/>
        </w:rPr>
      </w:pPr>
      <w:r>
        <w:rPr>
          <w:rFonts w:ascii="宋体" w:hAnsi="宋体"/>
          <w:b w:val="0"/>
          <w:bCs w:val="0"/>
          <w:sz w:val="24"/>
          <w:szCs w:val="24"/>
        </w:rPr>
        <w:t xml:space="preserve">3.5.1 </w:t>
      </w:r>
      <w:r>
        <w:rPr>
          <w:rFonts w:hint="eastAsia" w:ascii="宋体" w:hAnsi="宋体"/>
          <w:b w:val="0"/>
          <w:bCs w:val="0"/>
          <w:sz w:val="24"/>
          <w:szCs w:val="24"/>
        </w:rPr>
        <w:t>产品质量及保证</w:t>
      </w:r>
    </w:p>
    <w:p>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投标人保证所供产品必须是全新的，原装正品，完全符合国家规定的质量标准，并提供产品合格证明。</w:t>
      </w:r>
    </w:p>
    <w:p>
      <w:pPr>
        <w:adjustRightInd w:val="0"/>
        <w:snapToGrid w:val="0"/>
        <w:ind w:firstLine="480" w:firstLineChars="200"/>
        <w:rPr>
          <w:rFonts w:ascii="宋体" w:hAnsi="宋体" w:eastAsia="宋体" w:cs="宋体"/>
          <w:color w:val="000000"/>
          <w:sz w:val="24"/>
        </w:rPr>
      </w:pPr>
      <w:r>
        <w:rPr>
          <w:rFonts w:hint="eastAsia" w:ascii="宋体" w:hAnsi="宋体" w:eastAsia="宋体" w:cs="宋体"/>
          <w:color w:val="000000"/>
          <w:sz w:val="24"/>
        </w:rPr>
        <w:t>在质量保证期内，发现货物的质量或规格与合同规定不符，或证明货物有缺陷，招标人有权向供方提出索赔。</w:t>
      </w:r>
    </w:p>
    <w:p>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在质量保证期内，货物出现非人为质量问题，投标人应负责维修或更换。</w:t>
      </w:r>
    </w:p>
    <w:p>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每台仪器须经检验合格后方可出厂，并附有产品合格证书。提供的设备符合投标文件承诺和所签合同规定的技术要求。</w:t>
      </w:r>
    </w:p>
    <w:p>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安全要求：设备安全防护装置齐全，安全标识规范并汉化，符合有关招标人安全生产标准化及有关安全生产规定要求。</w:t>
      </w:r>
    </w:p>
    <w:p>
      <w:pPr>
        <w:pStyle w:val="6"/>
        <w:spacing w:before="0" w:after="0" w:line="360" w:lineRule="auto"/>
        <w:rPr>
          <w:rFonts w:ascii="宋体" w:hAnsi="宋体"/>
          <w:b w:val="0"/>
          <w:bCs w:val="0"/>
          <w:sz w:val="24"/>
          <w:szCs w:val="24"/>
        </w:rPr>
      </w:pPr>
      <w:r>
        <w:rPr>
          <w:rFonts w:ascii="宋体" w:hAnsi="宋体"/>
          <w:b w:val="0"/>
          <w:bCs w:val="0"/>
          <w:sz w:val="24"/>
          <w:szCs w:val="24"/>
        </w:rPr>
        <w:t xml:space="preserve">3.5.2 </w:t>
      </w:r>
      <w:bookmarkStart w:id="60" w:name="_Toc31125"/>
      <w:bookmarkStart w:id="61" w:name="_Toc40372019"/>
      <w:r>
        <w:rPr>
          <w:rFonts w:hint="eastAsia" w:ascii="宋体" w:hAnsi="宋体"/>
          <w:b w:val="0"/>
          <w:bCs w:val="0"/>
          <w:sz w:val="24"/>
          <w:szCs w:val="24"/>
        </w:rPr>
        <w:t>软件</w:t>
      </w:r>
      <w:bookmarkEnd w:id="60"/>
      <w:bookmarkEnd w:id="61"/>
      <w:r>
        <w:rPr>
          <w:rFonts w:hint="eastAsia" w:ascii="宋体" w:hAnsi="宋体"/>
          <w:b w:val="0"/>
          <w:bCs w:val="0"/>
          <w:sz w:val="24"/>
          <w:szCs w:val="24"/>
        </w:rPr>
        <w:t>（若</w:t>
      </w:r>
      <w:r>
        <w:rPr>
          <w:rFonts w:ascii="宋体" w:hAnsi="宋体"/>
          <w:b w:val="0"/>
          <w:bCs w:val="0"/>
          <w:sz w:val="24"/>
          <w:szCs w:val="24"/>
        </w:rPr>
        <w:t>有</w:t>
      </w:r>
      <w:r>
        <w:rPr>
          <w:rFonts w:hint="eastAsia" w:ascii="宋体" w:hAnsi="宋体"/>
          <w:b w:val="0"/>
          <w:bCs w:val="0"/>
          <w:sz w:val="24"/>
          <w:szCs w:val="24"/>
        </w:rPr>
        <w:t>）</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（1）</w:t>
      </w:r>
      <w:r>
        <w:rPr>
          <w:rFonts w:ascii="宋体" w:hAnsi="宋体" w:eastAsia="宋体" w:cs="宋体"/>
          <w:color w:val="000000"/>
          <w:sz w:val="24"/>
        </w:rPr>
        <w:t>操作系统为中文正版WINDOWS专业版系统。</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2</w:t>
      </w:r>
      <w:r>
        <w:rPr>
          <w:rFonts w:hint="eastAsia" w:ascii="宋体" w:hAnsi="宋体" w:eastAsia="宋体" w:cs="宋体"/>
          <w:color w:val="000000"/>
          <w:sz w:val="24"/>
        </w:rPr>
        <w:t>）</w:t>
      </w:r>
      <w:r>
        <w:rPr>
          <w:rFonts w:ascii="宋体" w:hAnsi="宋体" w:eastAsia="宋体" w:cs="宋体"/>
          <w:color w:val="000000"/>
          <w:sz w:val="24"/>
        </w:rPr>
        <w:t>应有能力在同一时间内以多重窗口方式实时显示多方面的资料，以便容易对多种不同运行状态进行全面分析。</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3</w:t>
      </w:r>
      <w:r>
        <w:rPr>
          <w:rFonts w:hint="eastAsia" w:ascii="宋体" w:hAnsi="宋体" w:eastAsia="宋体" w:cs="宋体"/>
          <w:color w:val="000000"/>
          <w:sz w:val="24"/>
        </w:rPr>
        <w:t>）</w:t>
      </w:r>
      <w:r>
        <w:rPr>
          <w:rFonts w:ascii="宋体" w:hAnsi="宋体" w:eastAsia="宋体" w:cs="宋体"/>
          <w:color w:val="000000"/>
          <w:sz w:val="24"/>
        </w:rPr>
        <w:t>管理人员可以根据预设的权限在系统内进行各项资料的存取和监控。</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4</w:t>
      </w:r>
      <w:r>
        <w:rPr>
          <w:rFonts w:hint="eastAsia" w:ascii="宋体" w:hAnsi="宋体" w:eastAsia="宋体" w:cs="宋体"/>
          <w:color w:val="000000"/>
          <w:sz w:val="24"/>
        </w:rPr>
        <w:t>）</w:t>
      </w:r>
      <w:r>
        <w:rPr>
          <w:rFonts w:ascii="宋体" w:hAnsi="宋体" w:eastAsia="宋体" w:cs="宋体"/>
          <w:color w:val="000000"/>
          <w:sz w:val="24"/>
        </w:rPr>
        <w:t>系统应具有数据实时备份功能，备份的方式应符合实际场地条件等。</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5</w:t>
      </w:r>
      <w:r>
        <w:rPr>
          <w:rFonts w:hint="eastAsia" w:ascii="宋体" w:hAnsi="宋体" w:eastAsia="宋体" w:cs="宋体"/>
          <w:color w:val="000000"/>
          <w:sz w:val="24"/>
        </w:rPr>
        <w:t>）</w:t>
      </w:r>
      <w:r>
        <w:rPr>
          <w:rFonts w:ascii="宋体" w:hAnsi="宋体" w:eastAsia="宋体" w:cs="宋体"/>
          <w:color w:val="000000"/>
          <w:sz w:val="24"/>
        </w:rPr>
        <w:t>供方需提供生产过程中突发停电情况下，软硬件系统处理方案</w:t>
      </w:r>
      <w:r>
        <w:rPr>
          <w:rFonts w:hint="eastAsia" w:ascii="宋体" w:hAnsi="宋体" w:eastAsia="宋体" w:cs="宋体"/>
          <w:color w:val="000000"/>
          <w:sz w:val="24"/>
        </w:rPr>
        <w:t>。</w:t>
      </w:r>
    </w:p>
    <w:p>
      <w:pPr>
        <w:pStyle w:val="6"/>
        <w:spacing w:before="0" w:after="0" w:line="360" w:lineRule="auto"/>
        <w:rPr>
          <w:rFonts w:ascii="宋体" w:hAnsi="宋体"/>
          <w:b w:val="0"/>
          <w:bCs w:val="0"/>
          <w:sz w:val="24"/>
          <w:szCs w:val="24"/>
        </w:rPr>
      </w:pPr>
      <w:bookmarkStart w:id="62" w:name="_Toc40372022"/>
      <w:bookmarkStart w:id="63" w:name="_Toc7074"/>
      <w:r>
        <w:rPr>
          <w:rFonts w:ascii="宋体" w:hAnsi="宋体"/>
          <w:b w:val="0"/>
          <w:bCs w:val="0"/>
          <w:sz w:val="24"/>
          <w:szCs w:val="24"/>
        </w:rPr>
        <w:t>3.5.3 安全环保要求</w:t>
      </w:r>
      <w:bookmarkEnd w:id="62"/>
      <w:bookmarkEnd w:id="63"/>
    </w:p>
    <w:p>
      <w:pPr>
        <w:pStyle w:val="14"/>
        <w:rPr>
          <w:rFonts w:eastAsia="宋体"/>
          <w:color w:val="auto"/>
          <w:sz w:val="24"/>
          <w:szCs w:val="22"/>
        </w:rPr>
      </w:pPr>
      <w:r>
        <w:rPr>
          <w:rFonts w:hint="eastAsia" w:eastAsia="宋体"/>
          <w:color w:val="auto"/>
          <w:sz w:val="24"/>
          <w:szCs w:val="22"/>
        </w:rPr>
        <w:t>（1）</w:t>
      </w:r>
      <w:r>
        <w:rPr>
          <w:rFonts w:eastAsia="宋体"/>
          <w:color w:val="auto"/>
          <w:sz w:val="24"/>
          <w:szCs w:val="22"/>
        </w:rPr>
        <w:t>烘干室</w:t>
      </w:r>
      <w:r>
        <w:rPr>
          <w:rFonts w:hint="eastAsia" w:eastAsia="宋体"/>
          <w:color w:val="auto"/>
          <w:sz w:val="24"/>
          <w:szCs w:val="22"/>
        </w:rPr>
        <w:t>原有</w:t>
      </w:r>
      <w:r>
        <w:rPr>
          <w:rFonts w:eastAsia="宋体"/>
          <w:color w:val="auto"/>
          <w:sz w:val="24"/>
          <w:szCs w:val="22"/>
        </w:rPr>
        <w:t>两个出风管道</w:t>
      </w:r>
      <w:r>
        <w:rPr>
          <w:rFonts w:hint="eastAsia" w:eastAsia="宋体"/>
          <w:color w:val="auto"/>
          <w:sz w:val="24"/>
          <w:szCs w:val="22"/>
        </w:rPr>
        <w:t>均</w:t>
      </w:r>
      <w:r>
        <w:rPr>
          <w:rFonts w:eastAsia="宋体"/>
          <w:color w:val="auto"/>
          <w:sz w:val="24"/>
          <w:szCs w:val="22"/>
        </w:rPr>
        <w:t>增加防火阀，将防火阀</w:t>
      </w:r>
      <w:r>
        <w:rPr>
          <w:rFonts w:hint="eastAsia" w:eastAsia="宋体"/>
          <w:color w:val="auto"/>
          <w:sz w:val="24"/>
          <w:szCs w:val="22"/>
        </w:rPr>
        <w:t>反馈</w:t>
      </w:r>
      <w:r>
        <w:rPr>
          <w:rFonts w:eastAsia="宋体"/>
          <w:color w:val="auto"/>
          <w:sz w:val="24"/>
          <w:szCs w:val="22"/>
        </w:rPr>
        <w:t>信号</w:t>
      </w:r>
      <w:r>
        <w:rPr>
          <w:rFonts w:hint="eastAsia" w:eastAsia="宋体"/>
          <w:color w:val="auto"/>
          <w:sz w:val="24"/>
          <w:szCs w:val="22"/>
        </w:rPr>
        <w:t>接到消防报警主机，信号要传到中控室</w:t>
      </w:r>
      <w:r>
        <w:rPr>
          <w:rFonts w:eastAsia="宋体"/>
          <w:color w:val="auto"/>
          <w:sz w:val="24"/>
          <w:szCs w:val="22"/>
        </w:rPr>
        <w:t>。</w:t>
      </w:r>
    </w:p>
    <w:p>
      <w:pPr>
        <w:pStyle w:val="14"/>
        <w:spacing w:line="360" w:lineRule="auto"/>
        <w:rPr>
          <w:rFonts w:eastAsia="宋体"/>
          <w:color w:val="auto"/>
          <w:sz w:val="24"/>
          <w:szCs w:val="22"/>
        </w:rPr>
      </w:pPr>
      <w:r>
        <w:rPr>
          <w:rFonts w:hint="eastAsia" w:eastAsia="宋体"/>
          <w:color w:val="auto"/>
          <w:sz w:val="24"/>
          <w:szCs w:val="22"/>
        </w:rPr>
        <w:t>（2）</w:t>
      </w:r>
      <w:r>
        <w:rPr>
          <w:rFonts w:eastAsia="宋体"/>
          <w:color w:val="auto"/>
          <w:sz w:val="24"/>
          <w:szCs w:val="22"/>
        </w:rPr>
        <w:t>天然气管道改造完成后需对焊缝表面进行100%检查及探伤检测</w:t>
      </w:r>
      <w:r>
        <w:rPr>
          <w:rFonts w:hint="eastAsia" w:eastAsia="宋体"/>
          <w:color w:val="auto"/>
          <w:sz w:val="24"/>
          <w:szCs w:val="22"/>
        </w:rPr>
        <w:t>，并出具检测报告。</w:t>
      </w:r>
    </w:p>
    <w:p>
      <w:pPr>
        <w:pStyle w:val="14"/>
        <w:spacing w:line="360" w:lineRule="auto"/>
        <w:rPr>
          <w:rFonts w:eastAsia="宋体"/>
          <w:color w:val="auto"/>
          <w:sz w:val="24"/>
          <w:szCs w:val="22"/>
        </w:rPr>
      </w:pPr>
      <w:r>
        <w:rPr>
          <w:rFonts w:hint="eastAsia" w:eastAsia="宋体"/>
          <w:color w:val="auto"/>
          <w:sz w:val="24"/>
          <w:szCs w:val="22"/>
        </w:rPr>
        <w:t>（3）增加</w:t>
      </w:r>
      <w:r>
        <w:rPr>
          <w:rFonts w:eastAsia="宋体"/>
          <w:color w:val="auto"/>
          <w:sz w:val="24"/>
          <w:szCs w:val="22"/>
        </w:rPr>
        <w:t>天然气泄露报警及切断系统</w:t>
      </w:r>
      <w:r>
        <w:rPr>
          <w:rFonts w:hint="eastAsia" w:eastAsia="宋体"/>
          <w:color w:val="auto"/>
          <w:sz w:val="24"/>
          <w:szCs w:val="22"/>
        </w:rPr>
        <w:t>，并将声光报警装置安装到2</w:t>
      </w:r>
      <w:r>
        <w:rPr>
          <w:rFonts w:eastAsia="宋体"/>
          <w:color w:val="auto"/>
          <w:sz w:val="24"/>
          <w:szCs w:val="22"/>
        </w:rPr>
        <w:t>4</w:t>
      </w:r>
      <w:r>
        <w:rPr>
          <w:rFonts w:hint="eastAsia" w:eastAsia="宋体"/>
          <w:color w:val="auto"/>
          <w:sz w:val="24"/>
          <w:szCs w:val="22"/>
        </w:rPr>
        <w:t>小时有人值守的位置。</w:t>
      </w:r>
      <w:r>
        <w:rPr>
          <w:rFonts w:hint="eastAsia" w:ascii="微软雅黑" w:hAnsi="微软雅黑" w:eastAsia="微软雅黑"/>
          <w:color w:val="000000"/>
          <w:sz w:val="18"/>
          <w:szCs w:val="18"/>
          <w:shd w:val="clear" w:color="auto" w:fill="FFFFFF"/>
        </w:rPr>
        <w:t> </w:t>
      </w:r>
    </w:p>
    <w:p>
      <w:pPr>
        <w:pStyle w:val="14"/>
        <w:spacing w:line="360" w:lineRule="auto"/>
        <w:rPr>
          <w:rFonts w:eastAsia="宋体"/>
          <w:color w:val="auto"/>
          <w:sz w:val="24"/>
          <w:szCs w:val="22"/>
        </w:rPr>
      </w:pPr>
      <w:r>
        <w:rPr>
          <w:rFonts w:hint="eastAsia" w:eastAsia="宋体" w:cs="宋体"/>
          <w:color w:val="000000"/>
          <w:sz w:val="24"/>
        </w:rPr>
        <w:t>（4）新增</w:t>
      </w:r>
      <w:r>
        <w:rPr>
          <w:rFonts w:eastAsia="宋体"/>
          <w:color w:val="auto"/>
          <w:sz w:val="24"/>
          <w:szCs w:val="22"/>
        </w:rPr>
        <w:t>管道</w:t>
      </w:r>
      <w:r>
        <w:rPr>
          <w:rFonts w:hint="eastAsia" w:eastAsia="宋体"/>
          <w:color w:val="auto"/>
          <w:sz w:val="24"/>
          <w:szCs w:val="22"/>
        </w:rPr>
        <w:t>按标准添加</w:t>
      </w:r>
      <w:r>
        <w:rPr>
          <w:rFonts w:eastAsia="宋体"/>
          <w:color w:val="auto"/>
          <w:sz w:val="24"/>
          <w:szCs w:val="22"/>
        </w:rPr>
        <w:t>流向标识</w:t>
      </w:r>
      <w:r>
        <w:rPr>
          <w:rFonts w:hint="eastAsia" w:eastAsia="宋体"/>
          <w:color w:val="auto"/>
          <w:sz w:val="24"/>
          <w:szCs w:val="22"/>
        </w:rPr>
        <w:t>。</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5</w:t>
      </w:r>
      <w:r>
        <w:rPr>
          <w:rFonts w:hint="eastAsia" w:ascii="宋体" w:hAnsi="宋体" w:eastAsia="宋体" w:cs="宋体"/>
          <w:color w:val="000000"/>
          <w:sz w:val="24"/>
        </w:rPr>
        <w:t>）设备需满足</w:t>
      </w:r>
      <w:r>
        <w:rPr>
          <w:rFonts w:ascii="宋体" w:hAnsi="宋体" w:eastAsia="宋体" w:cs="宋体"/>
          <w:color w:val="000000"/>
          <w:sz w:val="24"/>
        </w:rPr>
        <w:t>EHS相关法规，保证操作人员安全。提供详细的安全防护指引，防止人员使用过程受伤害。系统或设备应考虑人身、操作和设备安全，设置必要的警示、防护、控制、显示、故障连锁等有效可靠的机械防护结构和安全控制装置。</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6</w:t>
      </w:r>
      <w:r>
        <w:rPr>
          <w:rFonts w:hint="eastAsia" w:ascii="宋体" w:hAnsi="宋体" w:eastAsia="宋体" w:cs="宋体"/>
          <w:color w:val="000000"/>
          <w:sz w:val="24"/>
        </w:rPr>
        <w:t>）电气控制应设有过载保护、短路保护、漏电保护、缺相保护、欠压及失压保护和连锁等保护装置，以确保系统工作安全可靠、稳定。</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7</w:t>
      </w:r>
      <w:r>
        <w:rPr>
          <w:rFonts w:hint="eastAsia" w:ascii="宋体" w:hAnsi="宋体" w:eastAsia="宋体" w:cs="宋体"/>
          <w:color w:val="000000"/>
          <w:sz w:val="24"/>
        </w:rPr>
        <w:t>）控制柜必须有良好接地保护，防止触电事故发生。</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8</w:t>
      </w:r>
      <w:r>
        <w:rPr>
          <w:rFonts w:hint="eastAsia" w:ascii="宋体" w:hAnsi="宋体" w:eastAsia="宋体" w:cs="宋体"/>
          <w:color w:val="000000"/>
          <w:sz w:val="24"/>
        </w:rPr>
        <w:t>）低压接线（</w:t>
      </w:r>
      <w:r>
        <w:rPr>
          <w:rFonts w:ascii="宋体" w:hAnsi="宋体" w:eastAsia="宋体" w:cs="宋体"/>
          <w:color w:val="000000"/>
          <w:sz w:val="24"/>
        </w:rPr>
        <w:t>24VDC和通讯/信号线路）应与控制盒中的控制电压和较高的电压隔离开。</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9</w:t>
      </w:r>
      <w:r>
        <w:rPr>
          <w:rFonts w:hint="eastAsia" w:ascii="宋体" w:hAnsi="宋体" w:eastAsia="宋体" w:cs="宋体"/>
          <w:color w:val="000000"/>
          <w:sz w:val="24"/>
        </w:rPr>
        <w:t>）仪器仪表及传感器应符合相应行业的国家标准安全规范和</w:t>
      </w:r>
      <w:r>
        <w:rPr>
          <w:rFonts w:ascii="宋体" w:hAnsi="宋体" w:eastAsia="宋体" w:cs="宋体"/>
          <w:color w:val="000000"/>
          <w:sz w:val="24"/>
        </w:rPr>
        <w:t>GB50131-2013。</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10</w:t>
      </w:r>
      <w:r>
        <w:rPr>
          <w:rFonts w:hint="eastAsia" w:ascii="宋体" w:hAnsi="宋体" w:eastAsia="宋体" w:cs="宋体"/>
          <w:color w:val="000000"/>
          <w:sz w:val="24"/>
        </w:rPr>
        <w:t>）突然停电时设备应进入安全状态，全部关闭，当恢复供电，没有信号输出，设备不能重新启动。</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11</w:t>
      </w:r>
      <w:r>
        <w:rPr>
          <w:rFonts w:hint="eastAsia" w:ascii="宋体" w:hAnsi="宋体" w:eastAsia="宋体" w:cs="宋体"/>
          <w:color w:val="000000"/>
          <w:sz w:val="24"/>
        </w:rPr>
        <w:t>）设备的噪音等级应该尽可能的低，设备周围</w:t>
      </w:r>
      <w:r>
        <w:rPr>
          <w:rFonts w:ascii="宋体" w:hAnsi="宋体" w:eastAsia="宋体" w:cs="宋体"/>
          <w:color w:val="000000"/>
          <w:sz w:val="24"/>
        </w:rPr>
        <w:t>1米噪声不得超过75分贝。</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12</w:t>
      </w:r>
      <w:r>
        <w:rPr>
          <w:rFonts w:hint="eastAsia" w:ascii="宋体" w:hAnsi="宋体" w:eastAsia="宋体" w:cs="宋体"/>
          <w:color w:val="000000"/>
          <w:sz w:val="24"/>
        </w:rPr>
        <w:t>）设备应有清晰、醒目、耐用的安全标识。</w:t>
      </w:r>
    </w:p>
    <w:p>
      <w:pPr>
        <w:pStyle w:val="76"/>
        <w:spacing w:line="360" w:lineRule="auto"/>
        <w:outlineLvl w:val="3"/>
        <w:rPr>
          <w:rFonts w:ascii="宋体" w:hAnsi="宋体" w:eastAsia="宋体" w:cs="FZZD Extra JW"/>
        </w:rPr>
      </w:pPr>
      <w:bookmarkStart w:id="64" w:name="_Toc24422"/>
      <w:bookmarkStart w:id="65" w:name="_Toc40372023"/>
      <w:r>
        <w:rPr>
          <w:rFonts w:ascii="宋体" w:hAnsi="宋体" w:eastAsia="宋体" w:cs="FZZD Extra JW"/>
        </w:rPr>
        <w:t>3.5.</w:t>
      </w:r>
      <w:bookmarkEnd w:id="64"/>
      <w:bookmarkEnd w:id="65"/>
      <w:bookmarkStart w:id="66" w:name="_Toc24621"/>
      <w:bookmarkStart w:id="67" w:name="_Toc40372024"/>
      <w:r>
        <w:rPr>
          <w:rFonts w:ascii="宋体" w:hAnsi="宋体" w:eastAsia="宋体" w:cs="FZZD Extra JW"/>
        </w:rPr>
        <w:t>4 施工要求</w:t>
      </w:r>
      <w:bookmarkEnd w:id="66"/>
      <w:bookmarkEnd w:id="67"/>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（1）有详细的工程组织计划，如人员配置、工程进度等；现场委派全天的有经验的项目经理，负责对该系统设计、安装、启动和调试进行直接监督。</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（2）工程过程中的文件资料和安装测试资料须真实、准确的填写并保存。</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（3）供方负责新项目自控系统的安装、调试，需方工程师配合供方。</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（4）试运行阶段供方需派专人负责现场故障处理，配合需方做好试运行。</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5）供方施工时须遵守国家标准及行业相关标准，每根线路应标明线号，现场元器件应标明编号，控制柜应可靠接地或接零，确保自控系统的施工质量。施工期间供方人员及设备的安全由供方负责，供方人员必须遵守需方的相关规章制度，文明施工，在施工现场认真、反复调试程序，直到达到需方自控系统实际的工艺控制要求、试运行工作稳定及安全可靠为止。</w:t>
      </w:r>
    </w:p>
    <w:p>
      <w:pPr>
        <w:adjustRightInd w:val="0"/>
        <w:snapToGrid w:val="0"/>
        <w:spacing w:line="360" w:lineRule="auto"/>
        <w:rPr>
          <w:rFonts w:ascii="宋体" w:hAnsi="宋体" w:eastAsia="宋体" w:cs="宋体"/>
          <w:color w:val="000000"/>
          <w:sz w:val="24"/>
        </w:rPr>
      </w:pPr>
      <w:r>
        <w:rPr>
          <w:rFonts w:hint="eastAsia" w:ascii="宋体" w:hAnsi="宋体" w:eastAsia="宋体" w:cs="宋体"/>
          <w:color w:val="000000"/>
          <w:sz w:val="24"/>
        </w:rPr>
        <w:t>（</w:t>
      </w:r>
      <w:r>
        <w:rPr>
          <w:rFonts w:ascii="宋体" w:hAnsi="宋体" w:eastAsia="宋体" w:cs="宋体"/>
          <w:color w:val="000000"/>
          <w:sz w:val="24"/>
        </w:rPr>
        <w:t>6</w:t>
      </w:r>
      <w:r>
        <w:rPr>
          <w:rFonts w:hint="eastAsia" w:ascii="宋体" w:hAnsi="宋体" w:eastAsia="宋体" w:cs="宋体"/>
          <w:color w:val="000000"/>
          <w:sz w:val="24"/>
        </w:rPr>
        <w:t>）供方应将需方控制系统做成一个交钥匙工程项目</w:t>
      </w:r>
      <w:r>
        <w:rPr>
          <w:rFonts w:ascii="宋体" w:hAnsi="宋体" w:eastAsia="宋体" w:cs="宋体"/>
          <w:color w:val="000000"/>
          <w:sz w:val="24"/>
        </w:rPr>
        <w:t>。</w:t>
      </w:r>
    </w:p>
    <w:p>
      <w:pPr>
        <w:pStyle w:val="5"/>
        <w:rPr>
          <w:rFonts w:ascii="宋体" w:hAnsi="宋体" w:cs="宋体"/>
          <w:b w:val="0"/>
          <w:bCs w:val="0"/>
          <w:szCs w:val="24"/>
        </w:rPr>
      </w:pPr>
      <w:r>
        <w:rPr>
          <w:rFonts w:ascii="宋体" w:hAnsi="宋体" w:cs="宋体"/>
          <w:b w:val="0"/>
          <w:bCs w:val="0"/>
          <w:szCs w:val="24"/>
        </w:rPr>
        <w:t xml:space="preserve">3.6 </w:t>
      </w:r>
      <w:r>
        <w:rPr>
          <w:rFonts w:hint="eastAsia" w:ascii="宋体" w:hAnsi="宋体" w:cs="宋体"/>
          <w:b w:val="0"/>
          <w:bCs w:val="0"/>
          <w:szCs w:val="24"/>
        </w:rPr>
        <w:t>供电</w:t>
      </w:r>
      <w:r>
        <w:rPr>
          <w:rFonts w:ascii="宋体" w:hAnsi="宋体" w:cs="宋体"/>
          <w:b w:val="0"/>
          <w:bCs w:val="0"/>
          <w:szCs w:val="24"/>
        </w:rPr>
        <w:t>方案</w:t>
      </w:r>
    </w:p>
    <w:p>
      <w:pPr>
        <w:spacing w:line="360" w:lineRule="auto"/>
        <w:ind w:firstLine="480"/>
        <w:rPr>
          <w:rFonts w:ascii="宋体" w:hAnsi="宋体" w:eastAsia="宋体" w:cs="宋体"/>
          <w:color w:val="000000"/>
          <w:sz w:val="24"/>
        </w:rPr>
      </w:pPr>
      <w:r>
        <w:rPr>
          <w:rFonts w:ascii="宋体" w:hAnsi="宋体" w:eastAsia="宋体" w:cs="宋体"/>
          <w:color w:val="000000"/>
          <w:sz w:val="24"/>
        </w:rPr>
        <w:t>站房供电：380V 50Hz、三相五线制（零线和地线不可共用）12KW；</w:t>
      </w:r>
    </w:p>
    <w:p>
      <w:pPr>
        <w:spacing w:line="360" w:lineRule="auto"/>
        <w:ind w:firstLine="480"/>
        <w:rPr>
          <w:rFonts w:ascii="宋体" w:hAnsi="宋体" w:eastAsia="宋体" w:cs="宋体"/>
          <w:color w:val="000000"/>
          <w:sz w:val="24"/>
        </w:rPr>
      </w:pPr>
      <w:r>
        <w:rPr>
          <w:rFonts w:hint="eastAsia" w:ascii="宋体" w:hAnsi="宋体" w:eastAsia="宋体" w:cs="宋体"/>
          <w:color w:val="000000"/>
          <w:sz w:val="24"/>
        </w:rPr>
        <w:t>提供</w:t>
      </w:r>
      <w:r>
        <w:rPr>
          <w:rFonts w:ascii="宋体" w:hAnsi="宋体" w:eastAsia="宋体" w:cs="宋体"/>
          <w:color w:val="000000"/>
          <w:sz w:val="24"/>
        </w:rPr>
        <w:t>接电点</w:t>
      </w:r>
      <w:r>
        <w:rPr>
          <w:rFonts w:hint="eastAsia" w:ascii="宋体" w:hAnsi="宋体" w:eastAsia="宋体" w:cs="宋体"/>
          <w:color w:val="000000"/>
          <w:sz w:val="24"/>
        </w:rPr>
        <w:t>，</w:t>
      </w:r>
      <w:r>
        <w:rPr>
          <w:rFonts w:ascii="宋体" w:hAnsi="宋体" w:eastAsia="宋体" w:cs="宋体"/>
          <w:color w:val="000000"/>
          <w:sz w:val="24"/>
        </w:rPr>
        <w:t>由投标方自行接电。</w:t>
      </w:r>
      <w:r>
        <w:rPr>
          <w:rFonts w:hint="eastAsia" w:ascii="宋体" w:hAnsi="宋体" w:eastAsia="宋体" w:cs="宋体"/>
          <w:color w:val="000000"/>
          <w:sz w:val="24"/>
        </w:rPr>
        <w:t>如</w:t>
      </w:r>
      <w:r>
        <w:rPr>
          <w:rFonts w:ascii="宋体" w:hAnsi="宋体" w:eastAsia="宋体" w:cs="宋体"/>
          <w:color w:val="000000"/>
          <w:sz w:val="24"/>
        </w:rPr>
        <w:t>断路器不合适，可自备更换</w:t>
      </w:r>
      <w:r>
        <w:rPr>
          <w:rFonts w:hint="eastAsia" w:ascii="宋体" w:hAnsi="宋体" w:eastAsia="宋体" w:cs="宋体"/>
          <w:color w:val="000000"/>
          <w:sz w:val="24"/>
        </w:rPr>
        <w:t>。</w:t>
      </w:r>
    </w:p>
    <w:p>
      <w:pPr>
        <w:spacing w:line="360" w:lineRule="auto"/>
        <w:ind w:firstLine="480"/>
        <w:rPr>
          <w:rFonts w:ascii="宋体" w:hAnsi="宋体" w:eastAsia="宋体" w:cs="宋体"/>
          <w:color w:val="000000"/>
          <w:sz w:val="24"/>
        </w:rPr>
      </w:pPr>
      <w:r>
        <w:rPr>
          <w:rFonts w:hint="eastAsia" w:ascii="宋体" w:hAnsi="宋体" w:eastAsia="宋体" w:cs="宋体"/>
          <w:color w:val="000000"/>
          <w:sz w:val="24"/>
        </w:rPr>
        <w:t>党家</w:t>
      </w:r>
      <w:r>
        <w:rPr>
          <w:rFonts w:ascii="宋体" w:hAnsi="宋体" w:eastAsia="宋体" w:cs="宋体"/>
          <w:color w:val="000000"/>
          <w:sz w:val="24"/>
        </w:rPr>
        <w:t>厂区</w:t>
      </w:r>
      <w:r>
        <w:rPr>
          <w:rFonts w:hint="eastAsia" w:ascii="宋体" w:hAnsi="宋体" w:eastAsia="宋体" w:cs="宋体"/>
          <w:color w:val="000000"/>
          <w:sz w:val="24"/>
        </w:rPr>
        <w:t>建设</w:t>
      </w:r>
      <w:r>
        <w:rPr>
          <w:rFonts w:ascii="宋体" w:hAnsi="宋体" w:eastAsia="宋体" w:cs="宋体"/>
          <w:color w:val="000000"/>
          <w:sz w:val="24"/>
        </w:rPr>
        <w:t>位置：母线</w:t>
      </w:r>
      <w:r>
        <w:rPr>
          <w:rFonts w:hint="eastAsia" w:ascii="宋体" w:hAnsi="宋体" w:eastAsia="宋体" w:cs="宋体"/>
          <w:color w:val="000000"/>
          <w:sz w:val="24"/>
        </w:rPr>
        <w:t>排</w:t>
      </w:r>
      <w:r>
        <w:rPr>
          <w:rFonts w:ascii="宋体" w:hAnsi="宋体" w:eastAsia="宋体" w:cs="宋体"/>
          <w:color w:val="000000"/>
          <w:sz w:val="24"/>
        </w:rPr>
        <w:t>接电，</w:t>
      </w:r>
      <w:r>
        <w:rPr>
          <w:rFonts w:hint="eastAsia" w:ascii="宋体" w:hAnsi="宋体" w:eastAsia="宋体" w:cs="宋体"/>
          <w:color w:val="000000"/>
          <w:sz w:val="24"/>
        </w:rPr>
        <w:t>自备</w:t>
      </w:r>
      <w:r>
        <w:rPr>
          <w:rFonts w:ascii="宋体" w:hAnsi="宋体" w:eastAsia="宋体" w:cs="宋体"/>
          <w:color w:val="000000"/>
          <w:sz w:val="24"/>
        </w:rPr>
        <w:t>插接箱，使用线缆</w:t>
      </w:r>
      <w:r>
        <w:rPr>
          <w:rFonts w:hint="eastAsia" w:ascii="宋体" w:hAnsi="宋体" w:eastAsia="宋体" w:cs="宋体"/>
          <w:color w:val="000000"/>
          <w:sz w:val="24"/>
        </w:rPr>
        <w:t>长度＜30</w:t>
      </w:r>
      <w:r>
        <w:rPr>
          <w:rFonts w:ascii="宋体" w:hAnsi="宋体" w:eastAsia="宋体" w:cs="宋体"/>
          <w:color w:val="000000"/>
          <w:sz w:val="24"/>
        </w:rPr>
        <w:t>m。</w:t>
      </w:r>
      <w:bookmarkEnd w:id="41"/>
    </w:p>
    <w:p>
      <w:pPr>
        <w:keepNext/>
        <w:keepLines/>
        <w:outlineLvl w:val="1"/>
        <w:rPr>
          <w:rFonts w:ascii="宋体" w:hAnsi="宋体" w:eastAsia="宋体" w:cs="宋体"/>
          <w:b/>
          <w:bCs/>
          <w:sz w:val="24"/>
          <w:szCs w:val="24"/>
        </w:rPr>
      </w:pPr>
      <w:r>
        <w:rPr>
          <w:rFonts w:hint="eastAsia" w:ascii="宋体" w:hAnsi="宋体" w:eastAsia="宋体" w:cs="宋体"/>
          <w:b/>
          <w:bCs/>
          <w:sz w:val="24"/>
          <w:szCs w:val="24"/>
        </w:rPr>
        <w:t>四、供货范围及供货方式</w:t>
      </w:r>
    </w:p>
    <w:p>
      <w:pPr>
        <w:keepNext/>
        <w:keepLines/>
        <w:spacing w:line="360" w:lineRule="auto"/>
        <w:outlineLvl w:val="2"/>
        <w:rPr>
          <w:rFonts w:ascii="宋体" w:hAnsi="宋体" w:eastAsia="宋体" w:cs="宋体"/>
          <w:sz w:val="24"/>
          <w:szCs w:val="32"/>
        </w:rPr>
      </w:pPr>
      <w:r>
        <w:rPr>
          <w:rFonts w:hint="eastAsia" w:ascii="宋体" w:hAnsi="宋体" w:eastAsia="宋体" w:cs="宋体"/>
          <w:sz w:val="24"/>
          <w:szCs w:val="24"/>
        </w:rPr>
        <w:t>4</w:t>
      </w:r>
      <w:r>
        <w:rPr>
          <w:rFonts w:ascii="宋体" w:hAnsi="宋体" w:eastAsia="宋体" w:cs="宋体"/>
          <w:sz w:val="24"/>
          <w:szCs w:val="24"/>
        </w:rPr>
        <w:t>.1</w:t>
      </w:r>
      <w:r>
        <w:rPr>
          <w:rFonts w:hint="eastAsia" w:ascii="宋体" w:hAnsi="宋体" w:eastAsia="宋体" w:cs="宋体"/>
          <w:sz w:val="24"/>
          <w:szCs w:val="24"/>
        </w:rPr>
        <w:t>供货范围（以实际设备为准）</w:t>
      </w:r>
    </w:p>
    <w:tbl>
      <w:tblPr>
        <w:tblStyle w:val="38"/>
        <w:tblW w:w="8217" w:type="dxa"/>
        <w:tblInd w:w="0" w:type="dxa"/>
        <w:tblLayout w:type="autofit"/>
        <w:tblCellMar>
          <w:top w:w="0" w:type="dxa"/>
          <w:left w:w="108" w:type="dxa"/>
          <w:bottom w:w="0" w:type="dxa"/>
          <w:right w:w="108" w:type="dxa"/>
        </w:tblCellMar>
      </w:tblPr>
      <w:tblGrid>
        <w:gridCol w:w="988"/>
        <w:gridCol w:w="2693"/>
        <w:gridCol w:w="1276"/>
        <w:gridCol w:w="1134"/>
        <w:gridCol w:w="2126"/>
      </w:tblGrid>
      <w:tr>
        <w:tblPrEx>
          <w:tblCellMar>
            <w:top w:w="0" w:type="dxa"/>
            <w:left w:w="108" w:type="dxa"/>
            <w:bottom w:w="0" w:type="dxa"/>
            <w:right w:w="108" w:type="dxa"/>
          </w:tblCellMar>
        </w:tblPrEx>
        <w:trPr>
          <w:trHeight w:val="600" w:hRule="atLeast"/>
        </w:trPr>
        <w:tc>
          <w:tcPr>
            <w:tcW w:w="988" w:type="dxa"/>
            <w:tcBorders>
              <w:top w:val="single" w:color="auto" w:sz="4" w:space="0"/>
              <w:left w:val="single" w:color="auto" w:sz="4" w:space="0"/>
              <w:bottom w:val="nil"/>
              <w:right w:val="single" w:color="auto" w:sz="4" w:space="0"/>
            </w:tcBorders>
            <w:shd w:val="clear" w:color="FFFFFF" w:fill="FFFFFF"/>
            <w:vAlign w:val="center"/>
          </w:tcPr>
          <w:p>
            <w:pPr>
              <w:widowControl/>
              <w:jc w:val="center"/>
              <w:rPr>
                <w:rFonts w:ascii="宋体" w:hAnsi="宋体" w:eastAsia="宋体" w:cs="宋体"/>
                <w:sz w:val="24"/>
                <w:szCs w:val="24"/>
              </w:rPr>
            </w:pPr>
            <w:r>
              <w:rPr>
                <w:rFonts w:hint="eastAsia" w:ascii="宋体" w:hAnsi="宋体" w:eastAsia="宋体" w:cs="宋体"/>
                <w:sz w:val="24"/>
                <w:szCs w:val="24"/>
              </w:rPr>
              <w:t>序号</w:t>
            </w:r>
          </w:p>
        </w:tc>
        <w:tc>
          <w:tcPr>
            <w:tcW w:w="2693" w:type="dxa"/>
            <w:tcBorders>
              <w:top w:val="single" w:color="auto" w:sz="4" w:space="0"/>
              <w:left w:val="nil"/>
              <w:bottom w:val="nil"/>
              <w:right w:val="single" w:color="auto" w:sz="4" w:space="0"/>
            </w:tcBorders>
            <w:shd w:val="clear" w:color="FFFFFF" w:fill="FFFFFF"/>
            <w:vAlign w:val="center"/>
          </w:tcPr>
          <w:p>
            <w:pPr>
              <w:widowControl/>
              <w:jc w:val="center"/>
              <w:rPr>
                <w:rFonts w:ascii="宋体" w:hAnsi="宋体" w:eastAsia="宋体" w:cs="宋体"/>
                <w:sz w:val="24"/>
                <w:szCs w:val="24"/>
              </w:rPr>
            </w:pPr>
            <w:r>
              <w:rPr>
                <w:rFonts w:hint="eastAsia" w:ascii="宋体" w:hAnsi="宋体" w:eastAsia="宋体" w:cs="宋体"/>
                <w:sz w:val="24"/>
                <w:szCs w:val="24"/>
              </w:rPr>
              <w:t>项目名称</w:t>
            </w:r>
          </w:p>
        </w:tc>
        <w:tc>
          <w:tcPr>
            <w:tcW w:w="1276" w:type="dxa"/>
            <w:tcBorders>
              <w:top w:val="single" w:color="auto" w:sz="4" w:space="0"/>
              <w:left w:val="nil"/>
              <w:bottom w:val="nil"/>
              <w:right w:val="single" w:color="auto" w:sz="4" w:space="0"/>
            </w:tcBorders>
            <w:shd w:val="clear" w:color="FFFFFF" w:fill="FFFFFF"/>
            <w:vAlign w:val="center"/>
          </w:tcPr>
          <w:p>
            <w:pPr>
              <w:widowControl/>
              <w:jc w:val="center"/>
              <w:rPr>
                <w:rFonts w:ascii="宋体" w:hAnsi="宋体" w:eastAsia="宋体" w:cs="宋体"/>
                <w:sz w:val="24"/>
                <w:szCs w:val="24"/>
              </w:rPr>
            </w:pPr>
            <w:r>
              <w:rPr>
                <w:rFonts w:hint="eastAsia" w:ascii="宋体" w:hAnsi="宋体" w:eastAsia="宋体" w:cs="宋体"/>
                <w:sz w:val="24"/>
                <w:szCs w:val="24"/>
              </w:rPr>
              <w:t>单位</w:t>
            </w:r>
          </w:p>
        </w:tc>
        <w:tc>
          <w:tcPr>
            <w:tcW w:w="1134" w:type="dxa"/>
            <w:tcBorders>
              <w:top w:val="single" w:color="auto" w:sz="4" w:space="0"/>
              <w:left w:val="nil"/>
              <w:bottom w:val="nil"/>
              <w:right w:val="single" w:color="auto" w:sz="4" w:space="0"/>
            </w:tcBorders>
            <w:shd w:val="clear" w:color="FFFFFF" w:fill="FFFFFF"/>
            <w:vAlign w:val="center"/>
          </w:tcPr>
          <w:p>
            <w:pPr>
              <w:widowControl/>
              <w:jc w:val="center"/>
              <w:rPr>
                <w:rFonts w:ascii="宋体" w:hAnsi="宋体" w:eastAsia="宋体" w:cs="宋体"/>
                <w:sz w:val="24"/>
                <w:szCs w:val="24"/>
              </w:rPr>
            </w:pPr>
            <w:r>
              <w:rPr>
                <w:rFonts w:hint="eastAsia" w:ascii="宋体" w:hAnsi="宋体" w:eastAsia="宋体" w:cs="宋体"/>
                <w:sz w:val="24"/>
                <w:szCs w:val="24"/>
              </w:rPr>
              <w:t>数量</w:t>
            </w:r>
          </w:p>
        </w:tc>
        <w:tc>
          <w:tcPr>
            <w:tcW w:w="2126" w:type="dxa"/>
            <w:tcBorders>
              <w:top w:val="single" w:color="auto" w:sz="4" w:space="0"/>
              <w:left w:val="nil"/>
              <w:bottom w:val="nil"/>
              <w:right w:val="single" w:color="auto" w:sz="4" w:space="0"/>
            </w:tcBorders>
            <w:shd w:val="clear" w:color="FFFFFF" w:fill="FFFFFF"/>
            <w:vAlign w:val="center"/>
          </w:tcPr>
          <w:p>
            <w:pPr>
              <w:widowControl/>
              <w:jc w:val="center"/>
              <w:rPr>
                <w:rFonts w:ascii="宋体" w:hAnsi="宋体" w:eastAsia="宋体" w:cs="宋体"/>
                <w:sz w:val="24"/>
                <w:szCs w:val="24"/>
              </w:rPr>
            </w:pPr>
            <w:r>
              <w:rPr>
                <w:rFonts w:hint="eastAsia" w:ascii="宋体" w:hAnsi="宋体" w:eastAsia="宋体" w:cs="宋体"/>
                <w:sz w:val="24"/>
                <w:szCs w:val="24"/>
              </w:rPr>
              <w:t>备注</w:t>
            </w:r>
          </w:p>
        </w:tc>
      </w:tr>
      <w:tr>
        <w:tblPrEx>
          <w:tblCellMar>
            <w:top w:w="0" w:type="dxa"/>
            <w:left w:w="108" w:type="dxa"/>
            <w:bottom w:w="0" w:type="dxa"/>
            <w:right w:w="108" w:type="dxa"/>
          </w:tblCellMar>
        </w:tblPrEx>
        <w:trPr>
          <w:trHeight w:val="408" w:hRule="atLeast"/>
        </w:trPr>
        <w:tc>
          <w:tcPr>
            <w:tcW w:w="988" w:type="dxa"/>
            <w:tcBorders>
              <w:top w:val="single" w:color="auto" w:sz="4" w:space="0"/>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1</w:t>
            </w:r>
          </w:p>
        </w:tc>
        <w:tc>
          <w:tcPr>
            <w:tcW w:w="2693" w:type="dxa"/>
            <w:tcBorders>
              <w:top w:val="single" w:color="auto" w:sz="4" w:space="0"/>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TNV燃烧炉及其附件、辅料</w:t>
            </w:r>
          </w:p>
        </w:tc>
        <w:tc>
          <w:tcPr>
            <w:tcW w:w="1276" w:type="dxa"/>
            <w:tcBorders>
              <w:top w:val="single" w:color="auto" w:sz="4" w:space="0"/>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套</w:t>
            </w:r>
          </w:p>
        </w:tc>
        <w:tc>
          <w:tcPr>
            <w:tcW w:w="1134" w:type="dxa"/>
            <w:tcBorders>
              <w:top w:val="single" w:color="auto" w:sz="4" w:space="0"/>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1</w:t>
            </w:r>
          </w:p>
        </w:tc>
        <w:tc>
          <w:tcPr>
            <w:tcW w:w="2126" w:type="dxa"/>
            <w:tcBorders>
              <w:top w:val="single" w:color="auto" w:sz="4" w:space="0"/>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r>
      <w:tr>
        <w:tblPrEx>
          <w:tblCellMar>
            <w:top w:w="0" w:type="dxa"/>
            <w:left w:w="108" w:type="dxa"/>
            <w:bottom w:w="0" w:type="dxa"/>
            <w:right w:w="108" w:type="dxa"/>
          </w:tblCellMar>
        </w:tblPrEx>
        <w:trPr>
          <w:trHeight w:val="408" w:hRule="atLeast"/>
        </w:trPr>
        <w:tc>
          <w:tcPr>
            <w:tcW w:w="988"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2</w:t>
            </w:r>
          </w:p>
        </w:tc>
        <w:tc>
          <w:tcPr>
            <w:tcW w:w="2693"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风机及其附件、辅料</w:t>
            </w:r>
          </w:p>
        </w:tc>
        <w:tc>
          <w:tcPr>
            <w:tcW w:w="127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套</w:t>
            </w:r>
          </w:p>
        </w:tc>
        <w:tc>
          <w:tcPr>
            <w:tcW w:w="1134"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1</w:t>
            </w:r>
          </w:p>
        </w:tc>
        <w:tc>
          <w:tcPr>
            <w:tcW w:w="212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r>
      <w:tr>
        <w:tblPrEx>
          <w:tblCellMar>
            <w:top w:w="0" w:type="dxa"/>
            <w:left w:w="108" w:type="dxa"/>
            <w:bottom w:w="0" w:type="dxa"/>
            <w:right w:w="108" w:type="dxa"/>
          </w:tblCellMar>
        </w:tblPrEx>
        <w:trPr>
          <w:trHeight w:val="408" w:hRule="atLeast"/>
        </w:trPr>
        <w:tc>
          <w:tcPr>
            <w:tcW w:w="988" w:type="dxa"/>
            <w:tcBorders>
              <w:top w:val="nil"/>
              <w:left w:val="single" w:color="auto" w:sz="4" w:space="0"/>
              <w:bottom w:val="single" w:color="auto" w:sz="4" w:space="0"/>
              <w:right w:val="nil"/>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3</w:t>
            </w:r>
          </w:p>
        </w:tc>
        <w:tc>
          <w:tcPr>
            <w:tcW w:w="2693"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钢构平台</w:t>
            </w:r>
          </w:p>
        </w:tc>
        <w:tc>
          <w:tcPr>
            <w:tcW w:w="127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套</w:t>
            </w:r>
          </w:p>
        </w:tc>
        <w:tc>
          <w:tcPr>
            <w:tcW w:w="1134"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1</w:t>
            </w:r>
          </w:p>
        </w:tc>
        <w:tc>
          <w:tcPr>
            <w:tcW w:w="212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r>
      <w:tr>
        <w:tblPrEx>
          <w:tblCellMar>
            <w:top w:w="0" w:type="dxa"/>
            <w:left w:w="108" w:type="dxa"/>
            <w:bottom w:w="0" w:type="dxa"/>
            <w:right w:w="108" w:type="dxa"/>
          </w:tblCellMar>
        </w:tblPrEx>
        <w:trPr>
          <w:trHeight w:val="408" w:hRule="atLeast"/>
        </w:trPr>
        <w:tc>
          <w:tcPr>
            <w:tcW w:w="988" w:type="dxa"/>
            <w:tcBorders>
              <w:top w:val="nil"/>
              <w:left w:val="single" w:color="auto" w:sz="4" w:space="0"/>
              <w:bottom w:val="single" w:color="auto" w:sz="4" w:space="0"/>
              <w:right w:val="nil"/>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4</w:t>
            </w:r>
          </w:p>
        </w:tc>
        <w:tc>
          <w:tcPr>
            <w:tcW w:w="2693"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eastAsia="宋体"/>
                <w:sz w:val="24"/>
              </w:rPr>
              <w:t>防火阀</w:t>
            </w:r>
            <w:r>
              <w:rPr>
                <w:rFonts w:hint="eastAsia" w:ascii="宋体" w:hAnsi="宋体" w:eastAsia="宋体" w:cs="宋体"/>
                <w:color w:val="000000"/>
                <w:sz w:val="24"/>
              </w:rPr>
              <w:t>及附件</w:t>
            </w:r>
          </w:p>
        </w:tc>
        <w:tc>
          <w:tcPr>
            <w:tcW w:w="127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套</w:t>
            </w:r>
          </w:p>
        </w:tc>
        <w:tc>
          <w:tcPr>
            <w:tcW w:w="1134"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2</w:t>
            </w:r>
          </w:p>
        </w:tc>
        <w:tc>
          <w:tcPr>
            <w:tcW w:w="212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eastAsia="宋体"/>
                <w:sz w:val="24"/>
              </w:rPr>
              <w:t>原</w:t>
            </w:r>
            <w:r>
              <w:rPr>
                <w:rFonts w:eastAsia="宋体"/>
                <w:sz w:val="24"/>
              </w:rPr>
              <w:t>出风管道</w:t>
            </w:r>
            <w:r>
              <w:rPr>
                <w:rFonts w:hint="eastAsia" w:eastAsia="宋体"/>
                <w:sz w:val="24"/>
              </w:rPr>
              <w:t>增加</w:t>
            </w:r>
          </w:p>
        </w:tc>
      </w:tr>
      <w:tr>
        <w:trPr>
          <w:trHeight w:val="408" w:hRule="atLeast"/>
        </w:trPr>
        <w:tc>
          <w:tcPr>
            <w:tcW w:w="988"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5</w:t>
            </w:r>
          </w:p>
        </w:tc>
        <w:tc>
          <w:tcPr>
            <w:tcW w:w="2693"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sz w:val="24"/>
              </w:rPr>
            </w:pPr>
            <w:r>
              <w:rPr>
                <w:rFonts w:hint="eastAsia" w:ascii="宋体" w:hAnsi="宋体" w:eastAsia="宋体" w:cs="宋体"/>
                <w:sz w:val="24"/>
              </w:rPr>
              <w:t>天然气泄露报警系统</w:t>
            </w:r>
          </w:p>
        </w:tc>
        <w:tc>
          <w:tcPr>
            <w:tcW w:w="127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sz w:val="24"/>
              </w:rPr>
            </w:pPr>
            <w:r>
              <w:rPr>
                <w:rFonts w:hint="eastAsia" w:ascii="宋体" w:hAnsi="宋体" w:eastAsia="宋体" w:cs="宋体"/>
                <w:sz w:val="24"/>
              </w:rPr>
              <w:t>套</w:t>
            </w:r>
          </w:p>
        </w:tc>
        <w:tc>
          <w:tcPr>
            <w:tcW w:w="1134"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sz w:val="24"/>
              </w:rPr>
            </w:pPr>
            <w:r>
              <w:rPr>
                <w:rFonts w:hint="eastAsia" w:ascii="宋体" w:hAnsi="宋体" w:eastAsia="宋体" w:cs="宋体"/>
                <w:sz w:val="24"/>
              </w:rPr>
              <w:t>1</w:t>
            </w:r>
          </w:p>
        </w:tc>
        <w:tc>
          <w:tcPr>
            <w:tcW w:w="212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sz w:val="24"/>
              </w:rPr>
            </w:pPr>
            <w:r>
              <w:rPr>
                <w:rFonts w:hint="eastAsia" w:ascii="宋体" w:hAnsi="宋体" w:eastAsia="宋体" w:cs="宋体"/>
                <w:sz w:val="24"/>
              </w:rPr>
              <w:t>　</w:t>
            </w:r>
          </w:p>
        </w:tc>
      </w:tr>
      <w:tr>
        <w:tblPrEx>
          <w:tblCellMar>
            <w:top w:w="0" w:type="dxa"/>
            <w:left w:w="108" w:type="dxa"/>
            <w:bottom w:w="0" w:type="dxa"/>
            <w:right w:w="108" w:type="dxa"/>
          </w:tblCellMar>
        </w:tblPrEx>
        <w:trPr>
          <w:trHeight w:val="408" w:hRule="atLeast"/>
        </w:trPr>
        <w:tc>
          <w:tcPr>
            <w:tcW w:w="988"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6</w:t>
            </w:r>
          </w:p>
        </w:tc>
        <w:tc>
          <w:tcPr>
            <w:tcW w:w="2693"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设备使用说明书</w:t>
            </w:r>
          </w:p>
        </w:tc>
        <w:tc>
          <w:tcPr>
            <w:tcW w:w="127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套</w:t>
            </w:r>
          </w:p>
        </w:tc>
        <w:tc>
          <w:tcPr>
            <w:tcW w:w="1134"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3</w:t>
            </w:r>
          </w:p>
        </w:tc>
        <w:tc>
          <w:tcPr>
            <w:tcW w:w="212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r>
      <w:tr>
        <w:tblPrEx>
          <w:tblCellMar>
            <w:top w:w="0" w:type="dxa"/>
            <w:left w:w="108" w:type="dxa"/>
            <w:bottom w:w="0" w:type="dxa"/>
            <w:right w:w="108" w:type="dxa"/>
          </w:tblCellMar>
        </w:tblPrEx>
        <w:trPr>
          <w:trHeight w:val="408" w:hRule="atLeast"/>
        </w:trPr>
        <w:tc>
          <w:tcPr>
            <w:tcW w:w="988"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7</w:t>
            </w:r>
          </w:p>
        </w:tc>
        <w:tc>
          <w:tcPr>
            <w:tcW w:w="2693"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系统软硬件清单</w:t>
            </w:r>
          </w:p>
        </w:tc>
        <w:tc>
          <w:tcPr>
            <w:tcW w:w="127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套</w:t>
            </w:r>
          </w:p>
        </w:tc>
        <w:tc>
          <w:tcPr>
            <w:tcW w:w="1134"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3</w:t>
            </w:r>
          </w:p>
        </w:tc>
        <w:tc>
          <w:tcPr>
            <w:tcW w:w="212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r>
      <w:tr>
        <w:tblPrEx>
          <w:tblCellMar>
            <w:top w:w="0" w:type="dxa"/>
            <w:left w:w="108" w:type="dxa"/>
            <w:bottom w:w="0" w:type="dxa"/>
            <w:right w:w="108" w:type="dxa"/>
          </w:tblCellMar>
        </w:tblPrEx>
        <w:trPr>
          <w:trHeight w:val="408" w:hRule="atLeast"/>
        </w:trPr>
        <w:tc>
          <w:tcPr>
            <w:tcW w:w="988"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8</w:t>
            </w:r>
          </w:p>
        </w:tc>
        <w:tc>
          <w:tcPr>
            <w:tcW w:w="2693"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技术培训资料</w:t>
            </w:r>
          </w:p>
        </w:tc>
        <w:tc>
          <w:tcPr>
            <w:tcW w:w="127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套</w:t>
            </w:r>
          </w:p>
        </w:tc>
        <w:tc>
          <w:tcPr>
            <w:tcW w:w="1134"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3</w:t>
            </w:r>
          </w:p>
        </w:tc>
        <w:tc>
          <w:tcPr>
            <w:tcW w:w="2126" w:type="dxa"/>
            <w:tcBorders>
              <w:top w:val="nil"/>
              <w:left w:val="nil"/>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r>
      <w:tr>
        <w:tblPrEx>
          <w:tblCellMar>
            <w:top w:w="0" w:type="dxa"/>
            <w:left w:w="108" w:type="dxa"/>
            <w:bottom w:w="0" w:type="dxa"/>
            <w:right w:w="108" w:type="dxa"/>
          </w:tblCellMar>
        </w:tblPrEx>
        <w:trPr>
          <w:trHeight w:val="408" w:hRule="atLeast"/>
        </w:trPr>
        <w:tc>
          <w:tcPr>
            <w:tcW w:w="988"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c>
          <w:tcPr>
            <w:tcW w:w="269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sz w:val="24"/>
              </w:rPr>
            </w:pPr>
            <w:r>
              <w:rPr>
                <w:rFonts w:hint="eastAsia" w:ascii="宋体" w:hAnsi="宋体" w:eastAsia="宋体" w:cs="宋体"/>
                <w:color w:val="000000"/>
                <w:sz w:val="24"/>
              </w:rPr>
              <w:t>　</w:t>
            </w:r>
          </w:p>
        </w:tc>
        <w:tc>
          <w:tcPr>
            <w:tcW w:w="212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sz w:val="24"/>
              </w:rPr>
            </w:pPr>
            <w:r>
              <w:rPr>
                <w:rFonts w:hint="eastAsia" w:ascii="宋体" w:hAnsi="宋体" w:eastAsia="宋体" w:cs="宋体"/>
                <w:color w:val="000000"/>
                <w:sz w:val="24"/>
              </w:rPr>
              <w:t>　</w:t>
            </w:r>
          </w:p>
        </w:tc>
      </w:tr>
    </w:tbl>
    <w:p/>
    <w:p>
      <w:pPr>
        <w:spacing w:line="360" w:lineRule="auto"/>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1)</w:t>
      </w:r>
      <w:r>
        <w:rPr>
          <w:rFonts w:hint="eastAsia" w:ascii="宋体" w:hAnsi="宋体" w:eastAsia="宋体" w:cs="宋体"/>
          <w:sz w:val="24"/>
          <w:szCs w:val="24"/>
        </w:rPr>
        <w:t>包括本技术标书所列明的主要货物以及货物正常运行所必需的全套连线设备、材料等。如货物端联接法兰外端面之内的、电气系统接口压线板（插座等）之内的设备、材料、联接螺栓、垫片等。</w:t>
      </w:r>
    </w:p>
    <w:p>
      <w:pPr>
        <w:spacing w:line="360" w:lineRule="auto"/>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2)</w:t>
      </w:r>
      <w:r>
        <w:rPr>
          <w:rFonts w:hint="eastAsia" w:ascii="宋体" w:hAnsi="宋体" w:eastAsia="宋体" w:cs="宋体"/>
          <w:sz w:val="24"/>
          <w:szCs w:val="24"/>
        </w:rPr>
        <w:t>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3)</w:t>
      </w:r>
      <w:r>
        <w:rPr>
          <w:rFonts w:hint="eastAsia" w:ascii="宋体" w:hAnsi="宋体" w:eastAsia="宋体" w:cs="宋体"/>
          <w:sz w:val="24"/>
          <w:szCs w:val="24"/>
        </w:rPr>
        <w:t>包括货物维护维修所必需的专用工具。</w:t>
      </w:r>
    </w:p>
    <w:p>
      <w:pPr>
        <w:spacing w:line="360" w:lineRule="auto"/>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4)</w:t>
      </w:r>
      <w:r>
        <w:rPr>
          <w:rFonts w:hint="eastAsia" w:ascii="宋体" w:hAnsi="宋体" w:eastAsia="宋体" w:cs="宋体"/>
          <w:sz w:val="24"/>
          <w:szCs w:val="24"/>
        </w:rPr>
        <w:t>包括货物为达到产品标准以及环保、消防和劳动安全卫生等国家法律、法规和标准、规范要求而必须配备但标书未明确提出的除尘系统、通风系统、近距离照明系统、安全围栏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pPr>
        <w:spacing w:line="360" w:lineRule="auto"/>
        <w:ind w:firstLine="120" w:firstLineChars="50"/>
        <w:rPr>
          <w:rFonts w:ascii="宋体" w:hAnsi="宋体" w:eastAsia="宋体" w:cs="宋体"/>
          <w:b/>
          <w:color w:val="000000"/>
          <w:sz w:val="24"/>
          <w:szCs w:val="24"/>
        </w:rPr>
      </w:pPr>
      <w:r>
        <w:rPr>
          <w:rFonts w:hint="eastAsia" w:ascii="宋体" w:hAnsi="宋体" w:eastAsia="宋体" w:cs="宋体"/>
          <w:b/>
          <w:color w:val="000000"/>
          <w:sz w:val="24"/>
          <w:szCs w:val="24"/>
        </w:rPr>
        <w:t>4</w:t>
      </w:r>
      <w:r>
        <w:rPr>
          <w:rFonts w:ascii="宋体" w:hAnsi="宋体" w:eastAsia="宋体" w:cs="宋体"/>
          <w:b/>
          <w:color w:val="000000"/>
          <w:sz w:val="24"/>
          <w:szCs w:val="24"/>
        </w:rPr>
        <w:t>.2</w:t>
      </w:r>
      <w:r>
        <w:rPr>
          <w:rFonts w:hint="eastAsia" w:ascii="宋体" w:hAnsi="宋体" w:eastAsia="宋体" w:cs="宋体"/>
          <w:b/>
          <w:color w:val="000000"/>
          <w:sz w:val="24"/>
          <w:szCs w:val="24"/>
        </w:rPr>
        <w:t>供货范围边界界定</w:t>
      </w:r>
    </w:p>
    <w:p>
      <w:pPr>
        <w:spacing w:line="360" w:lineRule="auto"/>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1)</w:t>
      </w:r>
      <w:r>
        <w:rPr>
          <w:rFonts w:hint="eastAsia" w:ascii="宋体" w:hAnsi="宋体" w:eastAsia="宋体" w:cs="宋体"/>
          <w:sz w:val="24"/>
          <w:szCs w:val="24"/>
        </w:rPr>
        <w:t>买方提供货物所需的建筑物（如厂房等）和构筑物（如混凝土池、砼基础等），包含正常安装施工所需的预埋件（如穿管、预埋螺栓、螺母及垫片）。</w:t>
      </w:r>
    </w:p>
    <w:p>
      <w:pPr>
        <w:spacing w:line="360" w:lineRule="auto"/>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2)</w:t>
      </w:r>
      <w:r>
        <w:rPr>
          <w:rFonts w:hint="eastAsia" w:ascii="宋体" w:hAnsi="宋体" w:eastAsia="宋体" w:cs="宋体"/>
          <w:sz w:val="24"/>
          <w:szCs w:val="24"/>
        </w:rPr>
        <w:t>买方提供符合本技术标书中所列明品质的电力、自来水、压缩空气、蒸汽、天然气（或煤气）管线。如：系统电力接口的接线端，水、气、汽等外围管线端等。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3)</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rPr>
          <w:rFonts w:ascii="宋体" w:hAnsi="宋体" w:eastAsia="宋体" w:cs="宋体"/>
          <w:color w:val="000000"/>
          <w:sz w:val="24"/>
          <w:szCs w:val="24"/>
        </w:rPr>
      </w:pPr>
      <w:r>
        <w:rPr>
          <w:rFonts w:hint="eastAsia" w:ascii="宋体" w:hAnsi="宋体" w:eastAsia="宋体" w:cs="宋体"/>
          <w:sz w:val="24"/>
          <w:szCs w:val="24"/>
        </w:rPr>
        <w:t>(</w:t>
      </w:r>
      <w:r>
        <w:rPr>
          <w:rFonts w:ascii="宋体" w:hAnsi="宋体" w:eastAsia="宋体" w:cs="宋体"/>
          <w:sz w:val="24"/>
          <w:szCs w:val="24"/>
        </w:rPr>
        <w:t>4)</w:t>
      </w:r>
      <w:r>
        <w:rPr>
          <w:rFonts w:hint="eastAsia" w:ascii="宋体" w:hAnsi="宋体" w:eastAsia="宋体" w:cs="宋体"/>
          <w:sz w:val="24"/>
          <w:szCs w:val="24"/>
        </w:rPr>
        <w:t>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pPr>
        <w:spacing w:line="360" w:lineRule="auto"/>
        <w:ind w:firstLine="140" w:firstLineChars="58"/>
        <w:outlineLvl w:val="3"/>
        <w:rPr>
          <w:rFonts w:ascii="宋体" w:hAnsi="宋体" w:eastAsia="宋体" w:cs="宋体"/>
          <w:b/>
          <w:bCs/>
          <w:sz w:val="24"/>
          <w:szCs w:val="24"/>
        </w:rPr>
      </w:pPr>
      <w:r>
        <w:rPr>
          <w:rFonts w:hint="eastAsia" w:ascii="宋体" w:hAnsi="宋体" w:eastAsia="宋体" w:cs="宋体"/>
          <w:b/>
          <w:bCs/>
          <w:sz w:val="24"/>
          <w:szCs w:val="24"/>
        </w:rPr>
        <w:t>4</w:t>
      </w:r>
      <w:r>
        <w:rPr>
          <w:rFonts w:ascii="宋体" w:hAnsi="宋体" w:eastAsia="宋体" w:cs="宋体"/>
          <w:b/>
          <w:bCs/>
          <w:sz w:val="24"/>
          <w:szCs w:val="24"/>
        </w:rPr>
        <w:t>.3</w:t>
      </w:r>
      <w:r>
        <w:rPr>
          <w:rFonts w:hint="eastAsia" w:ascii="宋体" w:hAnsi="宋体" w:eastAsia="宋体" w:cs="宋体"/>
          <w:b/>
          <w:bCs/>
          <w:sz w:val="24"/>
          <w:szCs w:val="24"/>
        </w:rPr>
        <w:t>备品备件、易损件和专用耗材供货范围</w:t>
      </w:r>
    </w:p>
    <w:p>
      <w:pPr>
        <w:spacing w:line="360" w:lineRule="auto"/>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1)</w:t>
      </w: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rPr>
          <w:rFonts w:ascii="宋体" w:hAnsi="宋体" w:eastAsia="宋体" w:cs="宋体"/>
          <w:color w:val="000000"/>
          <w:sz w:val="24"/>
          <w:szCs w:val="24"/>
        </w:rPr>
      </w:pPr>
      <w:r>
        <w:rPr>
          <w:rFonts w:hint="eastAsia" w:ascii="宋体" w:hAnsi="宋体" w:eastAsia="宋体" w:cs="宋体"/>
          <w:sz w:val="24"/>
          <w:szCs w:val="24"/>
        </w:rPr>
        <w:t>(</w:t>
      </w:r>
      <w:r>
        <w:rPr>
          <w:rFonts w:ascii="宋体" w:hAnsi="宋体" w:eastAsia="宋体" w:cs="宋体"/>
          <w:sz w:val="24"/>
          <w:szCs w:val="24"/>
        </w:rPr>
        <w:t>2)</w:t>
      </w:r>
      <w:r>
        <w:rPr>
          <w:rFonts w:hint="eastAsia" w:ascii="宋体" w:hAnsi="宋体" w:eastAsia="宋体" w:cs="宋体"/>
          <w:sz w:val="24"/>
          <w:szCs w:val="24"/>
        </w:rPr>
        <w:t>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pPr>
        <w:spacing w:line="360" w:lineRule="auto"/>
        <w:ind w:firstLine="120" w:firstLineChars="50"/>
        <w:rPr>
          <w:rFonts w:ascii="宋体" w:hAnsi="宋体" w:eastAsia="宋体" w:cs="宋体"/>
          <w:color w:val="000000"/>
          <w:sz w:val="24"/>
          <w:szCs w:val="24"/>
        </w:rPr>
      </w:pPr>
      <w:r>
        <w:rPr>
          <w:rFonts w:hint="eastAsia" w:ascii="宋体" w:hAnsi="宋体" w:eastAsia="宋体" w:cs="宋体"/>
          <w:b/>
          <w:bCs/>
          <w:sz w:val="24"/>
          <w:szCs w:val="24"/>
        </w:rPr>
        <w:t>4</w:t>
      </w:r>
      <w:r>
        <w:rPr>
          <w:rFonts w:ascii="宋体" w:hAnsi="宋体" w:eastAsia="宋体" w:cs="宋体"/>
          <w:b/>
          <w:bCs/>
          <w:sz w:val="24"/>
          <w:szCs w:val="24"/>
        </w:rPr>
        <w:t>.4</w:t>
      </w:r>
      <w:r>
        <w:rPr>
          <w:rFonts w:hint="eastAsia" w:ascii="宋体" w:hAnsi="宋体" w:eastAsia="宋体" w:cs="宋体"/>
          <w:b/>
          <w:bCs/>
          <w:sz w:val="24"/>
          <w:szCs w:val="24"/>
        </w:rPr>
        <w:t>、供货范围特别提示</w:t>
      </w:r>
    </w:p>
    <w:p>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pPr>
        <w:keepNext/>
        <w:keepLines/>
        <w:spacing w:line="360" w:lineRule="auto"/>
        <w:outlineLvl w:val="2"/>
        <w:rPr>
          <w:rFonts w:ascii="宋体" w:hAnsi="宋体" w:eastAsia="宋体" w:cs="宋体"/>
          <w:b/>
          <w:bCs/>
          <w:sz w:val="24"/>
          <w:szCs w:val="32"/>
        </w:rPr>
      </w:pPr>
      <w:r>
        <w:rPr>
          <w:rFonts w:hint="eastAsia" w:ascii="宋体" w:hAnsi="宋体" w:eastAsia="宋体" w:cs="宋体"/>
          <w:b/>
          <w:bCs/>
          <w:sz w:val="24"/>
          <w:szCs w:val="32"/>
        </w:rPr>
        <w:t>4</w:t>
      </w:r>
      <w:r>
        <w:rPr>
          <w:rFonts w:ascii="宋体" w:hAnsi="宋体" w:eastAsia="宋体" w:cs="宋体"/>
          <w:b/>
          <w:bCs/>
          <w:sz w:val="24"/>
          <w:szCs w:val="32"/>
        </w:rPr>
        <w:t>.5</w:t>
      </w:r>
      <w:r>
        <w:rPr>
          <w:rFonts w:hint="eastAsia" w:ascii="宋体" w:hAnsi="宋体" w:eastAsia="宋体" w:cs="宋体"/>
          <w:b/>
          <w:bCs/>
          <w:sz w:val="24"/>
          <w:szCs w:val="32"/>
        </w:rPr>
        <w:t>供货方式</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ind w:firstLine="240" w:firstLineChars="100"/>
      </w:pPr>
      <w:r>
        <w:rPr>
          <w:rFonts w:hint="eastAsia" w:ascii="宋体" w:hAnsi="宋体" w:eastAsia="宋体" w:cs="宋体"/>
          <w:sz w:val="24"/>
          <w:szCs w:val="24"/>
        </w:rPr>
        <w:t>供货地点：</w:t>
      </w:r>
      <w:r>
        <w:rPr>
          <w:rFonts w:hint="eastAsia" w:ascii="宋体" w:hAnsi="宋体" w:eastAsia="宋体" w:cs="宋体"/>
          <w:sz w:val="24"/>
          <w:szCs w:val="24"/>
          <w:u w:val="single"/>
        </w:rPr>
        <w:t>济南卡车制造公司党家庄</w:t>
      </w:r>
      <w:r>
        <w:rPr>
          <w:rFonts w:ascii="宋体" w:hAnsi="宋体" w:eastAsia="宋体" w:cs="宋体"/>
          <w:sz w:val="24"/>
          <w:szCs w:val="24"/>
          <w:u w:val="single"/>
        </w:rPr>
        <w:t>车架二部装配现场分部</w:t>
      </w:r>
      <w:r>
        <w:rPr>
          <w:rFonts w:hint="eastAsia" w:ascii="宋体" w:hAnsi="宋体" w:eastAsia="宋体" w:cs="宋体"/>
          <w:sz w:val="24"/>
          <w:szCs w:val="24"/>
        </w:rPr>
        <w:t>。</w:t>
      </w:r>
    </w:p>
    <w:p>
      <w:pPr>
        <w:spacing w:line="360" w:lineRule="auto"/>
        <w:jc w:val="left"/>
        <w:outlineLvl w:val="3"/>
        <w:rPr>
          <w:rFonts w:ascii="宋体" w:hAnsi="宋体" w:eastAsia="宋体" w:cs="宋体"/>
          <w:b/>
          <w:bCs/>
          <w:sz w:val="24"/>
          <w:szCs w:val="24"/>
        </w:rPr>
      </w:pPr>
      <w:r>
        <w:rPr>
          <w:rFonts w:hint="eastAsia" w:ascii="宋体" w:hAnsi="宋体" w:eastAsia="宋体" w:cs="宋体"/>
          <w:b/>
          <w:bCs/>
          <w:sz w:val="24"/>
          <w:szCs w:val="24"/>
        </w:rPr>
        <w:t>4</w:t>
      </w:r>
      <w:r>
        <w:rPr>
          <w:rFonts w:ascii="宋体" w:hAnsi="宋体" w:eastAsia="宋体" w:cs="宋体"/>
          <w:b/>
          <w:bCs/>
          <w:sz w:val="24"/>
          <w:szCs w:val="24"/>
        </w:rPr>
        <w:t>.6</w:t>
      </w:r>
      <w:r>
        <w:rPr>
          <w:rFonts w:hint="eastAsia" w:ascii="宋体" w:hAnsi="宋体" w:eastAsia="宋体" w:cs="宋体"/>
          <w:b/>
          <w:bCs/>
          <w:sz w:val="24"/>
          <w:szCs w:val="24"/>
        </w:rPr>
        <w:t>、供货时间</w:t>
      </w:r>
    </w:p>
    <w:p>
      <w:pPr>
        <w:spacing w:line="360" w:lineRule="auto"/>
        <w:jc w:val="left"/>
        <w:rPr>
          <w:rFonts w:ascii="宋体" w:hAnsi="宋体" w:eastAsia="宋体" w:cs="宋体"/>
          <w:sz w:val="24"/>
          <w:szCs w:val="24"/>
        </w:rPr>
      </w:pPr>
      <w:r>
        <w:rPr>
          <w:rFonts w:hint="eastAsia" w:ascii="宋体" w:hAnsi="宋体" w:eastAsia="宋体" w:cs="宋体"/>
          <w:sz w:val="24"/>
          <w:szCs w:val="24"/>
        </w:rPr>
        <w:t>1.接招标方通知后于</w:t>
      </w:r>
      <w:r>
        <w:rPr>
          <w:rFonts w:ascii="宋体" w:hAnsi="宋体" w:eastAsia="宋体" w:cs="宋体"/>
          <w:sz w:val="24"/>
          <w:szCs w:val="24"/>
          <w:u w:val="single"/>
        </w:rPr>
        <w:t>30</w:t>
      </w:r>
      <w:r>
        <w:rPr>
          <w:rFonts w:hint="eastAsia" w:ascii="宋体" w:hAnsi="宋体" w:eastAsia="宋体" w:cs="宋体"/>
          <w:sz w:val="24"/>
          <w:szCs w:val="24"/>
        </w:rPr>
        <w:t>个日历日内，中标人须交付设备到招标人指定的安装和使用的现场。</w:t>
      </w:r>
    </w:p>
    <w:p>
      <w:pPr>
        <w:spacing w:line="360" w:lineRule="auto"/>
        <w:jc w:val="left"/>
        <w:rPr>
          <w:rFonts w:ascii="宋体" w:hAnsi="宋体" w:eastAsia="宋体" w:cs="宋体"/>
          <w:sz w:val="24"/>
          <w:szCs w:val="24"/>
        </w:rPr>
      </w:pPr>
      <w:r>
        <w:rPr>
          <w:rFonts w:hint="eastAsia" w:ascii="宋体" w:hAnsi="宋体" w:eastAsia="宋体" w:cs="宋体"/>
          <w:sz w:val="24"/>
          <w:szCs w:val="24"/>
        </w:rPr>
        <w:t>2.接续</w:t>
      </w:r>
      <w:r>
        <w:rPr>
          <w:rFonts w:ascii="宋体" w:hAnsi="宋体" w:eastAsia="宋体" w:cs="宋体"/>
          <w:sz w:val="24"/>
          <w:szCs w:val="24"/>
          <w:u w:val="single"/>
        </w:rPr>
        <w:t>30</w:t>
      </w:r>
      <w:r>
        <w:rPr>
          <w:rFonts w:hint="eastAsia" w:ascii="宋体" w:hAnsi="宋体" w:eastAsia="宋体" w:cs="宋体"/>
          <w:sz w:val="24"/>
          <w:szCs w:val="24"/>
        </w:rPr>
        <w:t>个日历日之内安装调试完毕。</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3.接续</w:t>
      </w:r>
      <w:r>
        <w:rPr>
          <w:rFonts w:ascii="宋体" w:hAnsi="宋体" w:eastAsia="宋体" w:cs="宋体"/>
          <w:sz w:val="24"/>
          <w:szCs w:val="24"/>
          <w:u w:val="single"/>
        </w:rPr>
        <w:t>30</w:t>
      </w:r>
      <w:r>
        <w:rPr>
          <w:rFonts w:hint="eastAsia" w:ascii="宋体" w:hAnsi="宋体" w:eastAsia="宋体" w:cs="宋体"/>
          <w:sz w:val="24"/>
          <w:szCs w:val="24"/>
        </w:rPr>
        <w:t>个日历日之内完成终验收。</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2"/>
      </w:pPr>
    </w:p>
    <w:p>
      <w:pPr>
        <w:pStyle w:val="19"/>
      </w:pPr>
    </w:p>
    <w:p>
      <w:pPr>
        <w:spacing w:line="360" w:lineRule="auto"/>
        <w:jc w:val="center"/>
        <w:outlineLvl w:val="0"/>
        <w:rPr>
          <w:rFonts w:ascii="宋体" w:hAnsi="Calibri" w:eastAsia="宋体" w:cs="Times New Roman"/>
          <w:b/>
          <w:sz w:val="36"/>
          <w:szCs w:val="36"/>
        </w:rPr>
      </w:pPr>
      <w:bookmarkStart w:id="68"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8"/>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9"/>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69"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0" w:name="_Toc11930"/>
      <w:bookmarkStart w:id="71" w:name="_Toc11823"/>
      <w:bookmarkStart w:id="72" w:name="_Toc16330018"/>
      <w:bookmarkStart w:id="73" w:name="_Toc17619"/>
      <w:r>
        <w:rPr>
          <w:rFonts w:hint="eastAsia" w:ascii="黑体" w:hAnsi="黑体" w:eastAsia="黑体" w:cstheme="minorEastAsia"/>
          <w:b w:val="0"/>
          <w:sz w:val="28"/>
          <w:szCs w:val="28"/>
        </w:rPr>
        <w:t>1 合同设备</w:t>
      </w:r>
      <w:bookmarkEnd w:id="70"/>
      <w:bookmarkEnd w:id="71"/>
      <w:bookmarkEnd w:id="72"/>
      <w:bookmarkEnd w:id="7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4" w:name="_Toc29026"/>
      <w:bookmarkStart w:id="75" w:name="_Toc22800"/>
      <w:bookmarkStart w:id="76"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6330019"/>
      <w:r>
        <w:rPr>
          <w:rFonts w:hint="eastAsia" w:ascii="黑体" w:hAnsi="黑体" w:eastAsia="黑体" w:cstheme="minorEastAsia"/>
          <w:b w:val="0"/>
          <w:sz w:val="28"/>
          <w:szCs w:val="28"/>
        </w:rPr>
        <w:t>2 包装</w:t>
      </w:r>
      <w:bookmarkEnd w:id="74"/>
      <w:bookmarkEnd w:id="75"/>
      <w:bookmarkEnd w:id="76"/>
      <w:bookmarkEnd w:id="7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8" w:name="_Toc2833"/>
      <w:bookmarkStart w:id="79" w:name="_Toc27144"/>
      <w:bookmarkStart w:id="80" w:name="_Toc16330020"/>
      <w:bookmarkStart w:id="81" w:name="_Toc27453"/>
      <w:r>
        <w:rPr>
          <w:rFonts w:hint="eastAsia" w:ascii="黑体" w:hAnsi="黑体" w:eastAsia="黑体" w:cstheme="minorEastAsia"/>
          <w:b w:val="0"/>
          <w:sz w:val="28"/>
          <w:szCs w:val="28"/>
        </w:rPr>
        <w:t>3 运输标记</w:t>
      </w:r>
      <w:bookmarkEnd w:id="78"/>
      <w:bookmarkEnd w:id="79"/>
      <w:bookmarkEnd w:id="80"/>
      <w:bookmarkEnd w:id="8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2" w:name="_Toc10630"/>
      <w:bookmarkStart w:id="83" w:name="_Toc7431"/>
      <w:bookmarkStart w:id="84" w:name="_Toc16330021"/>
      <w:bookmarkStart w:id="85" w:name="_Toc16133"/>
      <w:r>
        <w:rPr>
          <w:rFonts w:hint="eastAsia" w:ascii="黑体" w:hAnsi="黑体" w:eastAsia="黑体" w:cstheme="minorEastAsia"/>
          <w:b w:val="0"/>
          <w:sz w:val="28"/>
          <w:szCs w:val="28"/>
        </w:rPr>
        <w:t>4 检验</w:t>
      </w:r>
      <w:bookmarkEnd w:id="82"/>
      <w:bookmarkEnd w:id="83"/>
      <w:bookmarkEnd w:id="84"/>
      <w:bookmarkEnd w:id="8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19850"/>
      <w:bookmarkStart w:id="87" w:name="_Toc11217"/>
      <w:bookmarkStart w:id="88" w:name="_Toc16330022"/>
      <w:bookmarkStart w:id="89" w:name="_Toc24467"/>
      <w:r>
        <w:rPr>
          <w:rFonts w:hint="eastAsia" w:ascii="黑体" w:hAnsi="黑体" w:eastAsia="黑体" w:cstheme="minorEastAsia"/>
          <w:b w:val="0"/>
          <w:sz w:val="28"/>
          <w:szCs w:val="28"/>
        </w:rPr>
        <w:t>5 权利担保</w:t>
      </w:r>
      <w:bookmarkEnd w:id="86"/>
      <w:bookmarkEnd w:id="87"/>
      <w:bookmarkEnd w:id="88"/>
      <w:bookmarkEnd w:id="8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11759"/>
      <w:bookmarkStart w:id="91" w:name="_Toc14809"/>
      <w:bookmarkStart w:id="92" w:name="_Toc16330023"/>
      <w:bookmarkStart w:id="93" w:name="_Toc27500"/>
      <w:r>
        <w:rPr>
          <w:rFonts w:hint="eastAsia" w:ascii="黑体" w:hAnsi="黑体" w:eastAsia="黑体" w:cstheme="minorEastAsia"/>
          <w:b w:val="0"/>
          <w:sz w:val="28"/>
          <w:szCs w:val="28"/>
        </w:rPr>
        <w:t>6 交货</w:t>
      </w:r>
      <w:bookmarkEnd w:id="90"/>
      <w:bookmarkEnd w:id="91"/>
      <w:bookmarkEnd w:id="92"/>
      <w:bookmarkEnd w:id="9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25510"/>
      <w:bookmarkStart w:id="95" w:name="_Toc8024"/>
      <w:bookmarkStart w:id="96" w:name="_Toc2984"/>
      <w:bookmarkStart w:id="97" w:name="_Toc16330024"/>
      <w:r>
        <w:rPr>
          <w:rFonts w:hint="eastAsia" w:ascii="黑体" w:hAnsi="黑体" w:eastAsia="黑体" w:cstheme="minorEastAsia"/>
          <w:b w:val="0"/>
          <w:sz w:val="28"/>
          <w:szCs w:val="28"/>
        </w:rPr>
        <w:t>7 安装、调试</w:t>
      </w:r>
      <w:bookmarkEnd w:id="94"/>
      <w:bookmarkEnd w:id="95"/>
      <w:bookmarkEnd w:id="96"/>
      <w:bookmarkEnd w:id="97"/>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4098"/>
      <w:bookmarkStart w:id="99" w:name="_Toc6350"/>
      <w:bookmarkStart w:id="100" w:name="_Toc16330025"/>
      <w:bookmarkStart w:id="101" w:name="_Toc14260"/>
      <w:r>
        <w:rPr>
          <w:rFonts w:hint="eastAsia" w:ascii="黑体" w:hAnsi="黑体" w:eastAsia="黑体" w:cstheme="minorEastAsia"/>
          <w:b w:val="0"/>
          <w:sz w:val="28"/>
          <w:szCs w:val="28"/>
        </w:rPr>
        <w:t>8 价款与支付</w:t>
      </w:r>
      <w:bookmarkEnd w:id="98"/>
      <w:bookmarkEnd w:id="99"/>
      <w:bookmarkEnd w:id="100"/>
      <w:bookmarkEnd w:id="10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02" w:name="_Toc14531628"/>
      <w:bookmarkStart w:id="103"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02"/>
      <w:bookmarkEnd w:id="103"/>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4" w:name="_Toc6726"/>
      <w:bookmarkStart w:id="105" w:name="_Toc24085"/>
      <w:bookmarkStart w:id="106" w:name="_Toc25708"/>
      <w:bookmarkStart w:id="107" w:name="_Toc16330026"/>
      <w:r>
        <w:rPr>
          <w:rFonts w:hint="eastAsia" w:ascii="黑体" w:hAnsi="黑体" w:eastAsia="黑体" w:cstheme="minorEastAsia"/>
          <w:b w:val="0"/>
          <w:sz w:val="28"/>
          <w:szCs w:val="28"/>
        </w:rPr>
        <w:t>9 质量保证及售后服务</w:t>
      </w:r>
      <w:bookmarkEnd w:id="104"/>
      <w:bookmarkEnd w:id="105"/>
      <w:bookmarkEnd w:id="106"/>
      <w:bookmarkEnd w:id="10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8" w:name="_Toc16330027"/>
      <w:bookmarkStart w:id="109" w:name="_Toc12927"/>
      <w:bookmarkStart w:id="110" w:name="_Toc15570"/>
      <w:bookmarkStart w:id="111" w:name="_Toc10359"/>
      <w:r>
        <w:rPr>
          <w:rFonts w:hint="eastAsia" w:ascii="黑体" w:hAnsi="黑体" w:eastAsia="黑体" w:cstheme="minorEastAsia"/>
          <w:b w:val="0"/>
          <w:sz w:val="28"/>
          <w:szCs w:val="28"/>
        </w:rPr>
        <w:t>10法定责任</w:t>
      </w:r>
      <w:bookmarkEnd w:id="108"/>
      <w:bookmarkEnd w:id="109"/>
      <w:bookmarkEnd w:id="110"/>
      <w:bookmarkEnd w:id="11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2" w:name="_Toc27314"/>
      <w:bookmarkStart w:id="113" w:name="_Toc9708"/>
      <w:bookmarkStart w:id="114" w:name="_Toc16330028"/>
      <w:bookmarkStart w:id="115" w:name="_Toc30381"/>
      <w:r>
        <w:rPr>
          <w:rFonts w:hint="eastAsia" w:ascii="黑体" w:hAnsi="黑体" w:eastAsia="黑体" w:cstheme="minorEastAsia"/>
          <w:b w:val="0"/>
          <w:sz w:val="28"/>
          <w:szCs w:val="28"/>
        </w:rPr>
        <w:t>11 违约责任</w:t>
      </w:r>
      <w:bookmarkEnd w:id="112"/>
      <w:bookmarkEnd w:id="113"/>
      <w:bookmarkEnd w:id="114"/>
      <w:bookmarkEnd w:id="11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6" w:name="_Toc31554"/>
      <w:bookmarkStart w:id="117" w:name="_Toc16330029"/>
      <w:bookmarkStart w:id="118" w:name="_Toc9172"/>
      <w:bookmarkStart w:id="119" w:name="_Toc1827"/>
      <w:r>
        <w:rPr>
          <w:rFonts w:hint="eastAsia" w:ascii="黑体" w:hAnsi="黑体" w:eastAsia="黑体" w:cstheme="minorEastAsia"/>
          <w:b w:val="0"/>
          <w:sz w:val="28"/>
          <w:szCs w:val="28"/>
        </w:rPr>
        <w:t>12 合同的终止与解除</w:t>
      </w:r>
      <w:bookmarkEnd w:id="116"/>
      <w:bookmarkEnd w:id="117"/>
      <w:bookmarkEnd w:id="118"/>
      <w:bookmarkEnd w:id="11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0" w:name="_Toc31945"/>
      <w:bookmarkStart w:id="121" w:name="_Toc13671"/>
      <w:bookmarkStart w:id="122" w:name="_Toc8620"/>
      <w:bookmarkStart w:id="123" w:name="_Toc16330030"/>
      <w:r>
        <w:rPr>
          <w:rFonts w:hint="eastAsia" w:ascii="黑体" w:hAnsi="黑体" w:eastAsia="黑体" w:cstheme="minorEastAsia"/>
          <w:b w:val="0"/>
          <w:sz w:val="28"/>
          <w:szCs w:val="28"/>
        </w:rPr>
        <w:t>13 不可抗力</w:t>
      </w:r>
      <w:bookmarkEnd w:id="120"/>
      <w:bookmarkEnd w:id="121"/>
      <w:bookmarkEnd w:id="122"/>
      <w:bookmarkEnd w:id="12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4" w:name="_Toc31243"/>
      <w:bookmarkStart w:id="125" w:name="_Toc637"/>
      <w:bookmarkStart w:id="126" w:name="_Toc16330031"/>
      <w:bookmarkStart w:id="127" w:name="_Toc30389"/>
      <w:r>
        <w:rPr>
          <w:rFonts w:hint="eastAsia" w:ascii="黑体" w:hAnsi="黑体" w:eastAsia="黑体" w:cstheme="minorEastAsia"/>
          <w:b w:val="0"/>
          <w:sz w:val="28"/>
          <w:szCs w:val="28"/>
        </w:rPr>
        <w:t>14 通讯</w:t>
      </w:r>
      <w:bookmarkEnd w:id="124"/>
      <w:bookmarkEnd w:id="125"/>
      <w:bookmarkEnd w:id="126"/>
      <w:bookmarkEnd w:id="12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240" w:beforeLines="100"/>
        <w:jc w:val="both"/>
        <w:rPr>
          <w:rFonts w:ascii="黑体" w:hAnsi="黑体" w:eastAsia="黑体" w:cstheme="minorEastAsia"/>
          <w:b w:val="0"/>
          <w:sz w:val="28"/>
          <w:szCs w:val="28"/>
        </w:rPr>
      </w:pPr>
      <w:bookmarkStart w:id="128" w:name="_Toc16330032"/>
      <w:bookmarkStart w:id="129" w:name="_Toc11290"/>
      <w:bookmarkStart w:id="130" w:name="_Toc12984"/>
      <w:bookmarkStart w:id="131" w:name="_Toc9915"/>
      <w:r>
        <w:rPr>
          <w:rFonts w:hint="eastAsia" w:ascii="黑体" w:hAnsi="黑体" w:eastAsia="黑体" w:cstheme="minorEastAsia"/>
          <w:b w:val="0"/>
          <w:sz w:val="28"/>
          <w:szCs w:val="28"/>
        </w:rPr>
        <w:t>15 适用法律及争议解决</w:t>
      </w:r>
      <w:bookmarkEnd w:id="128"/>
      <w:bookmarkEnd w:id="129"/>
      <w:bookmarkEnd w:id="130"/>
      <w:bookmarkEnd w:id="13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2" w:name="_Toc18207"/>
      <w:bookmarkStart w:id="133" w:name="_Toc16330033"/>
      <w:bookmarkStart w:id="134" w:name="_Toc23906"/>
      <w:bookmarkStart w:id="135" w:name="_Toc23765"/>
      <w:r>
        <w:rPr>
          <w:rFonts w:hint="eastAsia" w:ascii="黑体" w:hAnsi="黑体" w:eastAsia="黑体" w:cstheme="minorEastAsia"/>
          <w:b w:val="0"/>
          <w:sz w:val="28"/>
          <w:szCs w:val="28"/>
        </w:rPr>
        <w:t>16 附件</w:t>
      </w:r>
      <w:bookmarkEnd w:id="132"/>
      <w:bookmarkEnd w:id="133"/>
      <w:bookmarkEnd w:id="134"/>
      <w:bookmarkEnd w:id="1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6" w:name="_Toc17656"/>
      <w:bookmarkStart w:id="137" w:name="_Toc27202"/>
      <w:bookmarkStart w:id="138" w:name="_Toc16330034"/>
      <w:bookmarkStart w:id="139" w:name="_Toc31331"/>
      <w:r>
        <w:rPr>
          <w:rFonts w:hint="eastAsia" w:ascii="黑体" w:hAnsi="黑体" w:eastAsia="黑体" w:cstheme="minorEastAsia"/>
          <w:b w:val="0"/>
          <w:sz w:val="28"/>
          <w:szCs w:val="28"/>
        </w:rPr>
        <w:t>17 其他规定</w:t>
      </w:r>
      <w:bookmarkEnd w:id="136"/>
      <w:bookmarkEnd w:id="137"/>
      <w:bookmarkEnd w:id="138"/>
      <w:bookmarkEnd w:id="13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40" w:name="_Toc16330035"/>
      <w:bookmarkStart w:id="141" w:name="_Toc17952"/>
      <w:bookmarkStart w:id="142" w:name="_Toc19077"/>
      <w:bookmarkStart w:id="143"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0"/>
      <w:bookmarkEnd w:id="141"/>
      <w:bookmarkEnd w:id="142"/>
      <w:bookmarkEnd w:id="14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8"/>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44" w:name="_Toc25120"/>
      <w:bookmarkStart w:id="145" w:name="_Toc5379"/>
      <w:bookmarkStart w:id="146" w:name="_Toc24623"/>
      <w:bookmarkStart w:id="147" w:name="_Toc16330037"/>
      <w:bookmarkStart w:id="148" w:name="_Toc3778"/>
      <w:r>
        <w:rPr>
          <w:rFonts w:hint="eastAsia" w:asciiTheme="minorEastAsia" w:hAnsiTheme="minorEastAsia" w:eastAsiaTheme="minorEastAsia" w:cstheme="minorEastAsia"/>
          <w:sz w:val="20"/>
          <w:szCs w:val="20"/>
        </w:rPr>
        <w:br w:type="page"/>
      </w:r>
    </w:p>
    <w:p>
      <w:pPr>
        <w:pStyle w:val="5"/>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44"/>
      <w:bookmarkEnd w:id="145"/>
      <w:bookmarkEnd w:id="146"/>
      <w:bookmarkEnd w:id="147"/>
      <w:bookmarkEnd w:id="148"/>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49" w:name="_Toc14341849"/>
    </w:p>
    <w:p>
      <w:pPr>
        <w:ind w:right="480"/>
        <w:jc w:val="center"/>
        <w:rPr>
          <w:sz w:val="24"/>
          <w:szCs w:val="24"/>
        </w:rPr>
      </w:pPr>
      <w:r>
        <w:rPr>
          <w:rFonts w:hint="eastAsia" w:ascii="楷体_GB2312" w:hAnsi="宋体" w:eastAsia="楷体_GB2312"/>
          <w:sz w:val="24"/>
        </w:rPr>
        <w:t xml:space="preserve">                                    </w:t>
      </w:r>
    </w:p>
    <w:bookmarkEnd w:id="149"/>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5"/>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5"/>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5"/>
        <w:ind w:left="0" w:firstLine="0"/>
        <w:rPr>
          <w:rFonts w:ascii="楷体" w:hAnsi="楷体" w:eastAsia="楷体" w:cs="楷体"/>
          <w:b/>
          <w:sz w:val="24"/>
          <w:szCs w:val="28"/>
        </w:rPr>
      </w:pPr>
    </w:p>
    <w:p>
      <w:pPr>
        <w:pStyle w:val="15"/>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5"/>
        <w:ind w:left="0" w:firstLine="0"/>
        <w:rPr>
          <w:rFonts w:ascii="楷体" w:hAnsi="楷体" w:eastAsia="楷体" w:cs="楷体"/>
          <w:b/>
          <w:sz w:val="24"/>
          <w:szCs w:val="28"/>
        </w:rPr>
      </w:pPr>
    </w:p>
    <w:p>
      <w:pPr>
        <w:pStyle w:val="15"/>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9"/>
    </w:p>
    <w:p>
      <w:pPr>
        <w:keepNext/>
        <w:keepLines/>
        <w:outlineLvl w:val="9"/>
        <w:rPr>
          <w:rFonts w:hint="eastAsia" w:ascii="Times New Roman" w:hAnsi="Times New Roman" w:eastAsia="宋体" w:cs="Times New Roman"/>
          <w:b/>
          <w:bCs/>
          <w:color w:val="000000"/>
          <w:sz w:val="24"/>
          <w:szCs w:val="24"/>
        </w:rPr>
      </w:pPr>
    </w:p>
    <w:p>
      <w:pPr>
        <w:pStyle w:val="19"/>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9"/>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0" w:name="_Toc25811"/>
      <w:bookmarkStart w:id="151" w:name="_Toc212369550"/>
      <w:bookmarkStart w:id="152" w:name="_Toc353881012"/>
      <w:bookmarkStart w:id="153"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0"/>
      <w:bookmarkEnd w:id="151"/>
      <w:bookmarkEnd w:id="152"/>
      <w:bookmarkEnd w:id="153"/>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济南卡车（党家庄）车架电泳新增废气处理设备项目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济南卡车（党家庄）车架电泳新增废气处理设备项目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 xml:space="preserve"> CGZX2025040114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9"/>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2"/>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2"/>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2"/>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2"/>
              <w:spacing w:before="111"/>
              <w:ind w:left="509"/>
              <w:rPr>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2"/>
              <w:spacing w:before="114"/>
              <w:ind w:left="720"/>
            </w:pPr>
            <w:r>
              <w:t xml:space="preserve">品牌区分 </w:t>
            </w:r>
          </w:p>
        </w:tc>
        <w:tc>
          <w:tcPr>
            <w:tcW w:w="7500" w:type="dxa"/>
            <w:gridSpan w:val="6"/>
          </w:tcPr>
          <w:p>
            <w:pPr>
              <w:pStyle w:val="13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2"/>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2"/>
              <w:spacing w:before="15"/>
              <w:ind w:left="279"/>
            </w:pPr>
            <w:r>
              <w:rPr>
                <w:spacing w:val="-2"/>
              </w:rPr>
              <w:t>质量</w:t>
            </w:r>
            <w:r>
              <w:t xml:space="preserve"> </w:t>
            </w:r>
          </w:p>
          <w:p>
            <w:pPr>
              <w:pStyle w:val="132"/>
              <w:spacing w:before="30" w:line="277" w:lineRule="exact"/>
              <w:ind w:left="279"/>
            </w:pPr>
            <w:r>
              <w:rPr>
                <w:rFonts w:hint="eastAsia"/>
              </w:rPr>
              <w:t>体系</w:t>
            </w:r>
          </w:p>
        </w:tc>
        <w:tc>
          <w:tcPr>
            <w:tcW w:w="2820" w:type="dxa"/>
            <w:gridSpan w:val="2"/>
          </w:tcPr>
          <w:p>
            <w:pPr>
              <w:pStyle w:val="132"/>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2"/>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9"/>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济南卡车（党家庄）车架电泳新增废气处理设备项目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济南卡车（党家庄）车架电泳新增废气处理设备项目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附件5-2设备分项配置表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tbl>
      <w:tblPr>
        <w:tblStyle w:val="130"/>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tcPr>
          <w:p>
            <w:pPr>
              <w:pStyle w:val="138"/>
              <w:spacing w:before="133" w:line="220" w:lineRule="auto"/>
              <w:ind w:left="550"/>
              <w:rPr>
                <w:rFonts w:hint="eastAsia" w:ascii="宋体" w:hAnsi="宋体" w:cs="宋体"/>
                <w:sz w:val="20"/>
                <w:szCs w:val="20"/>
                <w:lang w:bidi="ar"/>
              </w:rPr>
            </w:pPr>
          </w:p>
        </w:tc>
        <w:tc>
          <w:tcPr>
            <w:tcW w:w="3150" w:type="dxa"/>
            <w:vAlign w:val="center"/>
          </w:tcPr>
          <w:p>
            <w:pPr>
              <w:pStyle w:val="138"/>
              <w:spacing w:before="12" w:line="204" w:lineRule="auto"/>
              <w:ind w:left="1107" w:right="130" w:hanging="977"/>
              <w:jc w:val="center"/>
              <w:rPr>
                <w:spacing w:val="-2"/>
                <w:sz w:val="21"/>
                <w:szCs w:val="21"/>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tcPr>
          <w:p>
            <w:pPr>
              <w:pStyle w:val="138"/>
              <w:spacing w:before="118" w:line="221" w:lineRule="auto"/>
              <w:ind w:left="339"/>
              <w:rPr>
                <w:rFonts w:hint="eastAsia" w:ascii="宋体" w:hAnsi="宋体" w:cs="宋体"/>
                <w:sz w:val="20"/>
                <w:szCs w:val="20"/>
                <w:lang w:bidi="ar"/>
              </w:rPr>
            </w:pPr>
          </w:p>
        </w:tc>
        <w:tc>
          <w:tcPr>
            <w:tcW w:w="3150" w:type="dxa"/>
          </w:tcPr>
          <w:p>
            <w:pPr>
              <w:pStyle w:val="138"/>
              <w:spacing w:before="118" w:line="221" w:lineRule="auto"/>
              <w:ind w:left="607"/>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tcPr>
          <w:p>
            <w:pPr>
              <w:pStyle w:val="138"/>
              <w:spacing w:before="157" w:line="221" w:lineRule="auto"/>
              <w:ind w:left="445"/>
              <w:rPr>
                <w:rFonts w:hint="eastAsia" w:ascii="宋体" w:hAnsi="宋体" w:cs="宋体"/>
                <w:sz w:val="20"/>
                <w:szCs w:val="20"/>
                <w:lang w:bidi="ar"/>
              </w:rPr>
            </w:pPr>
          </w:p>
        </w:tc>
        <w:tc>
          <w:tcPr>
            <w:tcW w:w="3150" w:type="dxa"/>
            <w:vAlign w:val="center"/>
          </w:tcPr>
          <w:p>
            <w:pPr>
              <w:pStyle w:val="138"/>
              <w:spacing w:before="38" w:line="214" w:lineRule="auto"/>
              <w:ind w:left="1233" w:right="104" w:hanging="1124"/>
              <w:jc w:val="center"/>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tcPr>
          <w:p>
            <w:pPr>
              <w:pStyle w:val="138"/>
              <w:spacing w:before="296" w:line="182" w:lineRule="auto"/>
              <w:ind w:left="706"/>
              <w:rPr>
                <w:rFonts w:hint="eastAsia" w:ascii="宋体" w:hAnsi="宋体" w:cs="宋体"/>
                <w:sz w:val="20"/>
                <w:szCs w:val="20"/>
                <w:lang w:bidi="ar"/>
              </w:rPr>
            </w:pPr>
          </w:p>
        </w:tc>
        <w:tc>
          <w:tcPr>
            <w:tcW w:w="3150" w:type="dxa"/>
          </w:tcPr>
          <w:p>
            <w:pPr>
              <w:pStyle w:val="138"/>
              <w:spacing w:before="140" w:line="216" w:lineRule="auto"/>
              <w:ind w:left="111" w:right="138" w:firstLine="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tcPr>
          <w:p>
            <w:pPr>
              <w:pStyle w:val="138"/>
              <w:spacing w:before="132" w:line="221" w:lineRule="auto"/>
              <w:ind w:left="551"/>
              <w:rPr>
                <w:rFonts w:hint="eastAsia" w:ascii="宋体" w:hAnsi="宋体" w:cs="宋体"/>
                <w:sz w:val="20"/>
                <w:szCs w:val="20"/>
                <w:lang w:bidi="ar"/>
              </w:rPr>
            </w:pPr>
          </w:p>
        </w:tc>
        <w:tc>
          <w:tcPr>
            <w:tcW w:w="3150" w:type="dxa"/>
          </w:tcPr>
          <w:p>
            <w:pPr>
              <w:pStyle w:val="138"/>
              <w:spacing w:before="12" w:line="203" w:lineRule="auto"/>
              <w:ind w:left="113" w:right="104" w:firstLine="14"/>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tcPr>
          <w:p>
            <w:pPr>
              <w:pStyle w:val="138"/>
              <w:spacing w:before="144" w:line="220" w:lineRule="auto"/>
              <w:ind w:left="447"/>
              <w:rPr>
                <w:rFonts w:hint="eastAsia" w:ascii="宋体" w:hAnsi="宋体" w:cs="宋体"/>
                <w:sz w:val="20"/>
                <w:szCs w:val="20"/>
                <w:lang w:bidi="ar"/>
              </w:rPr>
            </w:pPr>
          </w:p>
        </w:tc>
        <w:tc>
          <w:tcPr>
            <w:tcW w:w="3150" w:type="dxa"/>
          </w:tcPr>
          <w:p>
            <w:pPr>
              <w:pStyle w:val="138"/>
              <w:spacing w:before="25" w:line="207" w:lineRule="auto"/>
              <w:ind w:left="118" w:right="107" w:hanging="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tcPr>
          <w:p>
            <w:pPr>
              <w:pStyle w:val="138"/>
              <w:spacing w:before="204" w:line="221" w:lineRule="auto"/>
              <w:ind w:left="341"/>
              <w:rPr>
                <w:rFonts w:hint="eastAsia" w:ascii="宋体" w:hAnsi="宋体" w:cs="宋体"/>
                <w:sz w:val="20"/>
                <w:szCs w:val="20"/>
                <w:lang w:bidi="ar"/>
              </w:rPr>
            </w:pPr>
          </w:p>
        </w:tc>
        <w:tc>
          <w:tcPr>
            <w:tcW w:w="3150" w:type="dxa"/>
          </w:tcPr>
          <w:p>
            <w:pPr>
              <w:pStyle w:val="138"/>
              <w:spacing w:before="53" w:line="248" w:lineRule="auto"/>
              <w:ind w:left="118" w:right="107" w:hanging="3"/>
              <w:rPr>
                <w:rFonts w:hint="eastAsia" w:ascii="宋体" w:hAnsi="宋体" w:cs="宋体"/>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tcPr>
          <w:p>
            <w:pPr>
              <w:pStyle w:val="138"/>
              <w:spacing w:before="262" w:line="221" w:lineRule="auto"/>
              <w:ind w:left="130"/>
              <w:rPr>
                <w:rFonts w:hint="eastAsia" w:ascii="宋体" w:hAnsi="宋体" w:cs="宋体"/>
              </w:rPr>
            </w:pPr>
          </w:p>
        </w:tc>
        <w:tc>
          <w:tcPr>
            <w:tcW w:w="3150" w:type="dxa"/>
          </w:tcPr>
          <w:p>
            <w:pPr>
              <w:pStyle w:val="138"/>
              <w:spacing w:before="267" w:line="221" w:lineRule="auto"/>
              <w:ind w:left="120"/>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tcPr>
          <w:p>
            <w:pPr>
              <w:pStyle w:val="138"/>
              <w:spacing w:before="172" w:line="221" w:lineRule="auto"/>
              <w:ind w:left="444"/>
              <w:rPr>
                <w:rFonts w:hint="eastAsia" w:ascii="宋体" w:hAnsi="宋体" w:cs="宋体"/>
              </w:rPr>
            </w:pPr>
          </w:p>
        </w:tc>
        <w:tc>
          <w:tcPr>
            <w:tcW w:w="3150" w:type="dxa"/>
          </w:tcPr>
          <w:p>
            <w:pPr>
              <w:pStyle w:val="138"/>
              <w:spacing w:before="172" w:line="221" w:lineRule="auto"/>
              <w:ind w:left="346"/>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tcPr>
          <w:p>
            <w:pPr>
              <w:pStyle w:val="138"/>
              <w:spacing w:before="142" w:line="222" w:lineRule="auto"/>
              <w:ind w:left="555"/>
              <w:rPr>
                <w:rFonts w:hint="eastAsia" w:ascii="宋体" w:hAnsi="宋体" w:cs="宋体"/>
              </w:rPr>
            </w:pPr>
          </w:p>
        </w:tc>
        <w:tc>
          <w:tcPr>
            <w:tcW w:w="3150" w:type="dxa"/>
          </w:tcPr>
          <w:p>
            <w:pPr>
              <w:pStyle w:val="138"/>
              <w:spacing w:before="141" w:line="221" w:lineRule="auto"/>
              <w:ind w:left="399"/>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shd w:val="clear" w:color="auto" w:fill="auto"/>
            <w:vAlign w:val="center"/>
          </w:tcPr>
          <w:p>
            <w:pPr>
              <w:pStyle w:val="138"/>
              <w:spacing w:before="142" w:line="222" w:lineRule="auto"/>
              <w:ind w:left="555"/>
              <w:rPr>
                <w:spacing w:val="-2"/>
                <w:sz w:val="21"/>
                <w:szCs w:val="21"/>
              </w:rPr>
            </w:pPr>
          </w:p>
        </w:tc>
        <w:tc>
          <w:tcPr>
            <w:tcW w:w="3150" w:type="dxa"/>
            <w:shd w:val="clear" w:color="auto" w:fill="auto"/>
            <w:vAlign w:val="center"/>
          </w:tcPr>
          <w:p>
            <w:pPr>
              <w:pStyle w:val="138"/>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shd w:val="clear" w:color="auto" w:fill="auto"/>
            <w:vAlign w:val="center"/>
          </w:tcPr>
          <w:p>
            <w:pPr>
              <w:pStyle w:val="138"/>
              <w:spacing w:before="142" w:line="222" w:lineRule="auto"/>
              <w:rPr>
                <w:spacing w:val="-2"/>
                <w:sz w:val="21"/>
                <w:szCs w:val="21"/>
              </w:rPr>
            </w:pPr>
          </w:p>
        </w:tc>
        <w:tc>
          <w:tcPr>
            <w:tcW w:w="3150" w:type="dxa"/>
            <w:shd w:val="clear" w:color="auto" w:fill="auto"/>
            <w:vAlign w:val="center"/>
          </w:tcPr>
          <w:p>
            <w:pPr>
              <w:pStyle w:val="138"/>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shd w:val="clear" w:color="auto" w:fill="auto"/>
            <w:vAlign w:val="center"/>
          </w:tcPr>
          <w:p>
            <w:pPr>
              <w:pStyle w:val="138"/>
              <w:spacing w:before="142" w:line="222" w:lineRule="auto"/>
              <w:rPr>
                <w:spacing w:val="-2"/>
                <w:sz w:val="21"/>
                <w:szCs w:val="21"/>
              </w:rPr>
            </w:pPr>
          </w:p>
        </w:tc>
        <w:tc>
          <w:tcPr>
            <w:tcW w:w="3150" w:type="dxa"/>
            <w:shd w:val="clear" w:color="auto" w:fill="auto"/>
            <w:vAlign w:val="center"/>
          </w:tcPr>
          <w:p>
            <w:pPr>
              <w:pStyle w:val="138"/>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06" w:type="dxa"/>
            <w:vAlign w:val="center"/>
          </w:tcPr>
          <w:p>
            <w:pPr>
              <w:spacing w:before="79"/>
              <w:jc w:val="center"/>
              <w:rPr>
                <w:rFonts w:hint="eastAsia" w:ascii="宋体" w:hAnsi="宋体" w:eastAsia="宋体" w:cs="宋体"/>
                <w:szCs w:val="21"/>
              </w:rPr>
            </w:pPr>
          </w:p>
        </w:tc>
        <w:tc>
          <w:tcPr>
            <w:tcW w:w="1500" w:type="dxa"/>
            <w:shd w:val="clear" w:color="auto" w:fill="auto"/>
            <w:vAlign w:val="center"/>
          </w:tcPr>
          <w:p>
            <w:pPr>
              <w:pStyle w:val="138"/>
              <w:spacing w:before="142" w:line="222" w:lineRule="auto"/>
              <w:rPr>
                <w:spacing w:val="-2"/>
                <w:sz w:val="21"/>
                <w:szCs w:val="21"/>
              </w:rPr>
            </w:pPr>
          </w:p>
        </w:tc>
        <w:tc>
          <w:tcPr>
            <w:tcW w:w="3150" w:type="dxa"/>
            <w:shd w:val="clear" w:color="auto" w:fill="auto"/>
            <w:vAlign w:val="center"/>
          </w:tcPr>
          <w:p>
            <w:pPr>
              <w:pStyle w:val="138"/>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济南卡车（党家庄）车架电泳新增废气处理设备项目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济南卡车（党家庄）车架电泳新增废气处理设备项目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济南卡车（党家庄）车架电泳新增废气处理设备项目</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济南卡车（党家庄）车架电泳新增废气处理设备项目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9"/>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9"/>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30"/>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color w:val="000000"/>
                <w:sz w:val="24"/>
              </w:rPr>
              <w:t>TNV燃烧炉及其附件、辅料</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sz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color w:val="000000"/>
                <w:sz w:val="24"/>
              </w:rPr>
              <w:t>风机及其附件、辅料</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sz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color w:val="000000"/>
                <w:sz w:val="24"/>
              </w:rPr>
              <w:t>钢构平台</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sz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eastAsia="宋体"/>
                <w:sz w:val="24"/>
              </w:rPr>
              <w:t>防火阀</w:t>
            </w:r>
            <w:r>
              <w:rPr>
                <w:rFonts w:hint="eastAsia" w:ascii="宋体" w:hAnsi="宋体" w:eastAsia="宋体" w:cs="宋体"/>
                <w:color w:val="000000"/>
                <w:sz w:val="24"/>
              </w:rPr>
              <w:t>及附件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color w:val="000000"/>
                <w:sz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rPr>
              <w:t>天然气泄露报警系统</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rPr>
              <w:t>相关设施调整</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包装运输及现场调试</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其他</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hint="eastAsia" w:ascii="Arial" w:hAnsi="Times New Roman" w:eastAsia="宋体" w:cs="Times New Roman"/>
                <w:kern w:val="0"/>
                <w:sz w:val="20"/>
                <w:szCs w:val="20"/>
                <w:lang w:eastAsia="zh-CN"/>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w:t>
            </w:r>
            <w:r>
              <w:rPr>
                <w:rFonts w:hint="eastAsia" w:ascii="宋体" w:hAnsi="宋体" w:eastAsia="宋体" w:cs="Times New Roman"/>
                <w:spacing w:val="-4"/>
                <w:kern w:val="0"/>
                <w:sz w:val="20"/>
                <w:szCs w:val="20"/>
                <w:lang w:val="en-US" w:eastAsia="zh-CN"/>
              </w:rPr>
              <w:t>3</w:t>
            </w: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2" w:line="221" w:lineRule="auto"/>
        <w:ind w:left="9"/>
        <w:jc w:val="right"/>
        <w:rPr>
          <w:rFonts w:hint="eastAsia" w:ascii="宋体" w:hAnsi="宋体" w:eastAsia="宋体" w:cs="Times New Roman"/>
          <w:b/>
          <w:bCs/>
          <w:sz w:val="24"/>
          <w:szCs w:val="24"/>
        </w:rPr>
      </w:pPr>
    </w:p>
    <w:p>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85" w:line="198" w:lineRule="auto"/>
        <w:ind w:left="432"/>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default" w:ascii="宋体" w:hAnsi="宋体" w:eastAsia="宋体" w:cs="宋体"/>
          <w:spacing w:val="-4"/>
          <w:sz w:val="24"/>
          <w:szCs w:val="24"/>
          <w:lang w:val="en-US" w:eastAsia="zh-CN"/>
        </w:r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授权代表(签字)：                          年     月     日</w:t>
      </w:r>
    </w:p>
    <w:p>
      <w:pPr>
        <w:rPr>
          <w:rFonts w:hint="eastAsia" w:ascii="宋体" w:hAnsi="宋体" w:eastAsia="宋体" w:cs="宋体"/>
          <w:spacing w:val="-2"/>
          <w:sz w:val="24"/>
          <w:szCs w:val="24"/>
        </w:rPr>
      </w:pPr>
      <w:r>
        <w:rPr>
          <w:rFonts w:hint="eastAsia" w:ascii="宋体" w:hAnsi="宋体" w:eastAsia="宋体" w:cs="宋体"/>
          <w:spacing w:val="-2"/>
          <w:sz w:val="24"/>
          <w:szCs w:val="24"/>
        </w:rPr>
        <w:br w:type="page"/>
      </w:r>
    </w:p>
    <w:p>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2</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0"/>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9"/>
      </w:pPr>
    </w:p>
    <w:p>
      <w:pPr>
        <w:pStyle w:val="19"/>
      </w:pPr>
    </w:p>
    <w:p>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济南卡车（党家庄）车架电泳新增废气处理设备项目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济南卡车（党家庄）车架电泳新增废气处理设备项目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济南卡车（党家庄）车架电泳新增废气处理设备项目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9"/>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济南卡车（党家庄）车架电泳新增废气处理设备项目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9"/>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bookmarkStart w:id="154" w:name="OLE_LINK3"/>
      <w:bookmarkStart w:id="155" w:name="_GoBack"/>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8"/>
        <w:tblpPr w:leftFromText="180" w:rightFromText="180" w:vertAnchor="text" w:horzAnchor="page" w:tblpX="1342" w:tblpY="469"/>
        <w:tblOverlap w:val="never"/>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eastAsia="宋体" w:cs="Times New Roman"/>
                <w:bCs/>
                <w:szCs w:val="21"/>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pPr>
              <w:tabs>
                <w:tab w:val="left" w:pos="13965"/>
              </w:tabs>
              <w:spacing w:line="420" w:lineRule="exact"/>
              <w:jc w:val="center"/>
              <w:rPr>
                <w:rFonts w:ascii="宋体" w:hAnsi="宋体" w:eastAsia="宋体"/>
                <w:szCs w:val="21"/>
              </w:rPr>
            </w:pPr>
            <w:r>
              <w:rPr>
                <w:rFonts w:ascii="宋体" w:hAnsi="宋体" w:eastAsia="宋体" w:cs="Times New Roman"/>
                <w:szCs w:val="21"/>
              </w:rPr>
              <w:t>20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bCs/>
                <w:szCs w:val="21"/>
              </w:rPr>
            </w:pPr>
            <w:r>
              <w:rPr>
                <w:rFonts w:hint="eastAsia" w:ascii="宋体" w:hAnsi="宋体" w:eastAsia="宋体" w:cs="Times New Roman"/>
                <w:bCs/>
                <w:szCs w:val="21"/>
              </w:rPr>
              <w:t>投标人的装备制造能力、生产设备、加工工艺先进、完善程度，视情况得0-</w:t>
            </w:r>
            <w:r>
              <w:rPr>
                <w:rFonts w:ascii="宋体" w:hAnsi="宋体" w:eastAsia="宋体" w:cs="Times New Roman"/>
                <w:bCs/>
                <w:szCs w:val="21"/>
              </w:rPr>
              <w:t>2</w:t>
            </w:r>
            <w:r>
              <w:rPr>
                <w:rFonts w:hint="eastAsia" w:ascii="宋体" w:hAnsi="宋体" w:eastAsia="宋体"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Times New Roman" w:eastAsia="宋体" w:cs="Times New Roman"/>
                <w:bCs/>
                <w:szCs w:val="21"/>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cs="Times New Roman"/>
                <w:szCs w:val="21"/>
              </w:rPr>
              <w:t>40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bCs/>
                <w:szCs w:val="21"/>
              </w:rPr>
            </w:pPr>
            <w:r>
              <w:rPr>
                <w:rFonts w:hint="eastAsia" w:ascii="宋体" w:hAnsi="宋体" w:eastAsia="宋体" w:cs="Times New Roman"/>
                <w:bCs/>
                <w:szCs w:val="21"/>
              </w:rPr>
              <w:t>产品方案技术先进、各系统完善、性能可靠，设备主要核心部件，具备自身技术优势，节能环保，视情况得0-40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eastAsia="宋体" w:cs="Times New Roman"/>
                <w:bCs/>
                <w:szCs w:val="21"/>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ascii="宋体" w:hAnsi="宋体" w:eastAsia="宋体" w:cs="Times New Roman"/>
                <w:szCs w:val="21"/>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bCs/>
                <w:szCs w:val="21"/>
              </w:rPr>
            </w:pPr>
            <w:r>
              <w:rPr>
                <w:rFonts w:hint="eastAsia" w:ascii="宋体" w:hAnsi="宋体" w:eastAsia="宋体" w:cs="Times New Roman"/>
                <w:bCs/>
                <w:szCs w:val="21"/>
              </w:rPr>
              <w:t>易于维修、操作方便，产品附件配置齐全，质量可靠，设备在使用期内的维护费用，视情况得0-</w:t>
            </w:r>
            <w:r>
              <w:rPr>
                <w:rFonts w:ascii="宋体" w:hAnsi="宋体" w:eastAsia="宋体" w:cs="Times New Roman"/>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rPr>
              <w:t>4</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Times New Roman" w:eastAsia="宋体" w:cs="Times New Roman"/>
                <w:bCs/>
                <w:szCs w:val="21"/>
              </w:rPr>
              <w:t>计划控制及项目交期</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ascii="宋体" w:hAnsi="宋体" w:eastAsia="宋体" w:cs="Times New Roman"/>
                <w:szCs w:val="21"/>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eastAsia="宋体" w:cs="Times New Roman"/>
                <w:bCs/>
                <w:szCs w:val="21"/>
              </w:rPr>
              <w:t>有详细可行的项目计划能保证项目进度，有风险管理，可以提前完成项目交货，综合评审，自主赋分。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rPr>
              <w:t>5</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Times New Roman" w:eastAsia="宋体" w:cs="Times New Roman"/>
                <w:szCs w:val="21"/>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宋体" w:hAnsi="Times New Roman" w:eastAsia="宋体"/>
                <w:bCs/>
                <w:szCs w:val="21"/>
              </w:rPr>
            </w:pPr>
            <w:r>
              <w:rPr>
                <w:rFonts w:hint="eastAsia" w:ascii="宋体" w:hAnsi="Times New Roman" w:eastAsia="宋体" w:cs="Times New Roman"/>
                <w:bCs/>
                <w:szCs w:val="21"/>
              </w:rPr>
              <w:t>技术方案优于招标要求的加分，不满足招标要求的减分，综合评议，自主赋分。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rPr>
              <w:t>6</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szCs w:val="21"/>
              </w:rPr>
            </w:pPr>
            <w:r>
              <w:rPr>
                <w:rFonts w:hint="eastAsia" w:ascii="宋体" w:hAnsi="宋体" w:eastAsia="宋体" w:cs="Times New Roman"/>
                <w:szCs w:val="21"/>
              </w:rPr>
              <w:t>业绩</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Times New Roman" w:eastAsia="宋体" w:cs="Times New Roman"/>
                <w:bCs/>
                <w:szCs w:val="21"/>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rPr>
            </w:pPr>
            <w:r>
              <w:rPr>
                <w:rFonts w:hint="eastAsia" w:ascii="宋体" w:hAnsi="宋体" w:eastAsia="宋体"/>
              </w:rPr>
              <w:t>7</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rPr>
            </w:pPr>
            <w:r>
              <w:rPr>
                <w:rFonts w:hint="eastAsia" w:ascii="宋体" w:hAnsi="宋体" w:eastAsia="宋体" w:cs="Times New Roman"/>
                <w:szCs w:val="21"/>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bCs/>
              </w:rPr>
            </w:pPr>
            <w:r>
              <w:rPr>
                <w:rFonts w:hint="eastAsia" w:ascii="宋体" w:hAnsi="Times New Roman" w:eastAsia="宋体" w:cs="Times New Roman"/>
                <w:bCs/>
                <w:szCs w:val="21"/>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rPr>
              <w:t>8</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szCs w:val="21"/>
              </w:rPr>
            </w:pPr>
            <w:r>
              <w:rPr>
                <w:rFonts w:hint="eastAsia" w:ascii="宋体" w:hAnsi="宋体" w:eastAsia="宋体" w:cs="Times New Roman"/>
                <w:szCs w:val="21"/>
              </w:rPr>
              <w:t>售后服务</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bCs/>
                <w:szCs w:val="21"/>
              </w:rPr>
            </w:pPr>
            <w:r>
              <w:rPr>
                <w:rFonts w:hint="eastAsia" w:ascii="宋体" w:hAnsi="Times New Roman" w:eastAsia="宋体" w:cs="Times New Roman"/>
                <w:bCs/>
                <w:szCs w:val="21"/>
              </w:rPr>
              <w:t>根据投标文件中提供的质量保证措施、售后服务方案等的响应情况综合评审赋分。</w:t>
            </w:r>
          </w:p>
        </w:tc>
      </w:tr>
      <w:bookmarkEnd w:id="154"/>
    </w:tbl>
    <w:p>
      <w:pPr>
        <w:pStyle w:val="2"/>
        <w:rPr>
          <w:rFonts w:hint="eastAsia"/>
        </w:rPr>
      </w:pPr>
    </w:p>
    <w:p>
      <w:pPr>
        <w:rPr>
          <w:rFonts w:hint="eastAsia" w:ascii="宋体" w:hAnsi="宋体" w:eastAsia="宋体" w:cs="宋体"/>
          <w:sz w:val="18"/>
          <w:szCs w:val="18"/>
        </w:rPr>
      </w:pPr>
      <w:r>
        <w:rPr>
          <w:rFonts w:hint="eastAsia" w:ascii="宋体" w:hAnsi="宋体" w:eastAsia="宋体" w:cs="宋体"/>
          <w:sz w:val="18"/>
          <w:szCs w:val="18"/>
        </w:rPr>
        <w:br w:type="page"/>
      </w:r>
    </w:p>
    <w:p>
      <w:pPr>
        <w:pStyle w:val="2"/>
        <w:rPr>
          <w:rFonts w:hint="eastAsia"/>
        </w:rPr>
      </w:pPr>
    </w:p>
    <w:p>
      <w:pPr>
        <w:pStyle w:val="19"/>
        <w:outlineLvl w:val="2"/>
        <w:rPr>
          <w:rFonts w:hint="eastAsia" w:ascii="宋体" w:hAnsi="宋体" w:eastAsia="宋体" w:cs="宋体"/>
          <w:b/>
          <w:bCs/>
          <w:color w:val="000000"/>
          <w:sz w:val="24"/>
          <w:szCs w:val="24"/>
          <w:lang w:val="en-US" w:eastAsia="zh-CN"/>
        </w:rPr>
      </w:pPr>
    </w:p>
    <w:p>
      <w:pPr>
        <w:pStyle w:val="19"/>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9"/>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9"/>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pPr>
        <w:pStyle w:val="19"/>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pPr>
        <w:pStyle w:val="19"/>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9"/>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“直管单位非生产招标→工艺设备→工艺设备”，业务主管部门为“工艺研究院”。</w:t>
      </w:r>
      <w:r>
        <w:rPr>
          <w:rFonts w:hint="eastAsia" w:ascii="宋体" w:hAnsi="宋体" w:eastAsia="宋体" w:cs="宋体"/>
          <w:b/>
          <w:bCs/>
          <w:color w:val="000000"/>
          <w:sz w:val="24"/>
          <w:szCs w:val="24"/>
          <w:lang w:val="en-US" w:eastAsia="zh-CN"/>
        </w:rPr>
        <w:br w:type="page"/>
      </w: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6"/>
          <w:rFonts w:hint="eastAsia" w:ascii="宋体" w:hAnsi="宋体" w:eastAsia="宋体" w:cs="宋体"/>
          <w:sz w:val="24"/>
          <w:szCs w:val="24"/>
        </w:rPr>
        <w:fldChar w:fldCharType="begin"/>
      </w:r>
      <w:r>
        <w:rPr>
          <w:rStyle w:val="4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6"/>
          <w:rFonts w:hint="eastAsia" w:ascii="宋体" w:hAnsi="宋体" w:eastAsia="宋体" w:cs="宋体"/>
          <w:sz w:val="24"/>
          <w:szCs w:val="24"/>
        </w:rP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default"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u w:val="none"/>
          <w:lang w:val="en-US" w:eastAsia="zh-CN"/>
        </w:rPr>
        <w:t>注册手机收到的密码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9"/>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pStyle w:val="19"/>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FZZD Extra JW">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31E68D5"/>
    <w:multiLevelType w:val="singleLevel"/>
    <w:tmpl w:val="D31E68D5"/>
    <w:lvl w:ilvl="0" w:tentative="0">
      <w:start w:val="1"/>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10DAC"/>
    <w:multiLevelType w:val="multilevel"/>
    <w:tmpl w:val="44B10DAC"/>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460E593A"/>
    <w:multiLevelType w:val="multilevel"/>
    <w:tmpl w:val="460E593A"/>
    <w:lvl w:ilvl="0" w:tentative="0">
      <w:start w:val="1"/>
      <w:numFmt w:val="lowerLetter"/>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554C003F"/>
    <w:multiLevelType w:val="multilevel"/>
    <w:tmpl w:val="554C00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5631BDF"/>
    <w:multiLevelType w:val="singleLevel"/>
    <w:tmpl w:val="65631BDF"/>
    <w:lvl w:ilvl="0" w:tentative="0">
      <w:start w:val="1"/>
      <w:numFmt w:val="decimal"/>
      <w:lvlText w:val="%1."/>
      <w:lvlJc w:val="left"/>
      <w:pPr>
        <w:ind w:left="425" w:hanging="425"/>
      </w:pPr>
      <w:rPr>
        <w:rFonts w:hint="default"/>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25742D4"/>
    <w:multiLevelType w:val="multilevel"/>
    <w:tmpl w:val="725742D4"/>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0"/>
  </w:num>
  <w:num w:numId="3">
    <w:abstractNumId w:val="14"/>
  </w:num>
  <w:num w:numId="4">
    <w:abstractNumId w:val="5"/>
  </w:num>
  <w:num w:numId="5">
    <w:abstractNumId w:val="3"/>
  </w:num>
  <w:num w:numId="6">
    <w:abstractNumId w:val="8"/>
  </w:num>
  <w:num w:numId="7">
    <w:abstractNumId w:val="2"/>
  </w:num>
  <w:num w:numId="8">
    <w:abstractNumId w:val="6"/>
  </w:num>
  <w:num w:numId="9">
    <w:abstractNumId w:val="4"/>
  </w:num>
  <w:num w:numId="10">
    <w:abstractNumId w:val="7"/>
  </w:num>
  <w:num w:numId="11">
    <w:abstractNumId w:val="13"/>
  </w:num>
  <w:num w:numId="12">
    <w:abstractNumId w:val="11"/>
  </w:num>
  <w:num w:numId="13">
    <w:abstractNumId w:val="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5A03E5"/>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985829"/>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373B7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187CC4"/>
    <w:rsid w:val="35216C38"/>
    <w:rsid w:val="35486AF7"/>
    <w:rsid w:val="359009FB"/>
    <w:rsid w:val="35D354B8"/>
    <w:rsid w:val="35D4025C"/>
    <w:rsid w:val="36063A32"/>
    <w:rsid w:val="362666BC"/>
    <w:rsid w:val="36445A95"/>
    <w:rsid w:val="368A6B11"/>
    <w:rsid w:val="36A238B1"/>
    <w:rsid w:val="37085B1F"/>
    <w:rsid w:val="37103EE5"/>
    <w:rsid w:val="372E04CB"/>
    <w:rsid w:val="37317C9C"/>
    <w:rsid w:val="38851F64"/>
    <w:rsid w:val="38E070F2"/>
    <w:rsid w:val="390D33AB"/>
    <w:rsid w:val="391E6D06"/>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1356E"/>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344C3D"/>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86551D"/>
    <w:rsid w:val="56AC4A78"/>
    <w:rsid w:val="56B55151"/>
    <w:rsid w:val="56DB16B9"/>
    <w:rsid w:val="57435CBA"/>
    <w:rsid w:val="577A3463"/>
    <w:rsid w:val="57B07B04"/>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C06FDA"/>
    <w:rsid w:val="59F861A7"/>
    <w:rsid w:val="5A94302F"/>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AA007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6FC0BE4"/>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00074E"/>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56DC5"/>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8"/>
    <w:qFormat/>
    <w:uiPriority w:val="9"/>
    <w:pPr>
      <w:keepNext/>
      <w:keepLines/>
      <w:jc w:val="center"/>
      <w:outlineLvl w:val="0"/>
    </w:pPr>
    <w:rPr>
      <w:b/>
      <w:bCs/>
      <w:kern w:val="44"/>
      <w:sz w:val="36"/>
      <w:szCs w:val="44"/>
    </w:rPr>
  </w:style>
  <w:style w:type="paragraph" w:styleId="5">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next w:val="16"/>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0"/>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6"/>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字符"/>
    <w:basedOn w:val="40"/>
    <w:link w:val="3"/>
    <w:qFormat/>
    <w:uiPriority w:val="9"/>
    <w:rPr>
      <w:rFonts w:ascii="Calibri" w:hAnsi="Calibri" w:eastAsia="宋体" w:cs="Times New Roman"/>
      <w:b/>
      <w:bCs/>
      <w:kern w:val="44"/>
      <w:sz w:val="36"/>
      <w:szCs w:val="44"/>
    </w:rPr>
  </w:style>
  <w:style w:type="character" w:customStyle="1" w:styleId="49">
    <w:name w:val="标题 2 字符"/>
    <w:basedOn w:val="40"/>
    <w:link w:val="5"/>
    <w:qFormat/>
    <w:uiPriority w:val="9"/>
    <w:rPr>
      <w:rFonts w:ascii="Arial" w:hAnsi="Arial" w:eastAsia="宋体" w:cs="Times New Roman"/>
      <w:b/>
      <w:bCs/>
      <w:sz w:val="24"/>
      <w:szCs w:val="32"/>
    </w:rPr>
  </w:style>
  <w:style w:type="character" w:customStyle="1" w:styleId="50">
    <w:name w:val="标题 3 字符"/>
    <w:basedOn w:val="40"/>
    <w:link w:val="6"/>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字符"/>
    <w:link w:val="22"/>
    <w:qFormat/>
    <w:locked/>
    <w:uiPriority w:val="0"/>
  </w:style>
  <w:style w:type="character" w:customStyle="1" w:styleId="53">
    <w:name w:val="批注主题 字符"/>
    <w:link w:val="36"/>
    <w:qFormat/>
    <w:locked/>
    <w:uiPriority w:val="0"/>
    <w:rPr>
      <w:b/>
    </w:rPr>
  </w:style>
  <w:style w:type="character" w:customStyle="1" w:styleId="54">
    <w:name w:val="正文文本缩进 3 字符"/>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字符"/>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link w:val="13"/>
    <w:qFormat/>
    <w:locked/>
    <w:uiPriority w:val="0"/>
  </w:style>
  <w:style w:type="character" w:customStyle="1" w:styleId="63">
    <w:name w:val="标题 字符"/>
    <w:link w:val="35"/>
    <w:qFormat/>
    <w:locked/>
    <w:uiPriority w:val="0"/>
    <w:rPr>
      <w:rFonts w:ascii="Arial" w:hAnsi="Arial"/>
      <w:b/>
      <w:sz w:val="32"/>
    </w:rPr>
  </w:style>
  <w:style w:type="character" w:customStyle="1" w:styleId="64">
    <w:name w:val="日期 字符"/>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字符"/>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字符"/>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字符"/>
    <w:link w:val="19"/>
    <w:qFormat/>
    <w:locked/>
    <w:uiPriority w:val="0"/>
    <w:rPr>
      <w:rFonts w:ascii="宋体" w:hAnsi="Courier New"/>
    </w:rPr>
  </w:style>
  <w:style w:type="character" w:customStyle="1" w:styleId="74">
    <w:name w:val="页脚 字符"/>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字符"/>
    <w:basedOn w:val="40"/>
    <w:link w:val="16"/>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字符"/>
    <w:basedOn w:val="40"/>
    <w:link w:val="15"/>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5"/>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6"/>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4">
    <w:name w:val="无间隔1"/>
    <w:qFormat/>
    <w:uiPriority w:val="0"/>
    <w:rPr>
      <w:rFonts w:ascii="Calibri" w:hAnsi="Calibri" w:eastAsia="Calibri" w:cs="Times New Roman"/>
      <w:szCs w:val="22"/>
      <w:lang w:val="en-GB" w:eastAsia="en-US" w:bidi="ar-SA"/>
    </w:rPr>
  </w:style>
  <w:style w:type="paragraph" w:customStyle="1" w:styleId="135">
    <w:name w:val="CM22"/>
    <w:basedOn w:val="76"/>
    <w:next w:val="76"/>
    <w:qFormat/>
    <w:uiPriority w:val="0"/>
    <w:pPr>
      <w:spacing w:after="125"/>
    </w:pPr>
    <w:rPr>
      <w:rFonts w:cs="Times New Roman"/>
      <w:color w:val="auto"/>
    </w:rPr>
  </w:style>
  <w:style w:type="paragraph" w:customStyle="1" w:styleId="136">
    <w:name w:val="List Paragraph1"/>
    <w:basedOn w:val="1"/>
    <w:qFormat/>
    <w:uiPriority w:val="0"/>
    <w:pPr>
      <w:ind w:firstLine="420" w:firstLineChars="200"/>
    </w:pPr>
    <w:rPr>
      <w:rFonts w:ascii="Calibri" w:hAnsi="Calibri"/>
      <w:szCs w:val="22"/>
    </w:rPr>
  </w:style>
  <w:style w:type="paragraph" w:customStyle="1" w:styleId="137">
    <w:name w:val="首行缩进"/>
    <w:basedOn w:val="1"/>
    <w:qFormat/>
    <w:uiPriority w:val="0"/>
    <w:pPr>
      <w:spacing w:line="360" w:lineRule="auto"/>
      <w:ind w:firstLine="480" w:firstLineChars="200"/>
    </w:pPr>
    <w:rPr>
      <w:rFonts w:ascii="宋体" w:hAnsi="宋体" w:eastAsia="仿宋_GB2312" w:cs="宋体"/>
      <w:sz w:val="24"/>
      <w:szCs w:val="20"/>
    </w:rPr>
  </w:style>
  <w:style w:type="paragraph" w:customStyle="1" w:styleId="138">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139">
    <w:name w:val="font41"/>
    <w:basedOn w:val="40"/>
    <w:qFormat/>
    <w:uiPriority w:val="0"/>
    <w:rPr>
      <w:rFonts w:hint="eastAsia" w:ascii="宋体" w:hAnsi="宋体" w:eastAsia="宋体" w:cs="宋体"/>
      <w:color w:val="000000"/>
      <w:sz w:val="21"/>
      <w:szCs w:val="21"/>
      <w:u w:val="none"/>
    </w:rPr>
  </w:style>
  <w:style w:type="table" w:customStyle="1" w:styleId="140">
    <w:name w:val="无格式表格 11"/>
    <w:basedOn w:val="38"/>
    <w:qFormat/>
    <w:uiPriority w:val="41"/>
    <w:rPr>
      <w:rFonts w:asciiTheme="minorHAnsi" w:hAnsiTheme="minorHAnsi" w:eastAsiaTheme="minorEastAsia" w:cstheme="minorBid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er" Target="foot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header" Target="header2.xml"/><Relationship Id="rId39" Type="http://schemas.openxmlformats.org/officeDocument/2006/relationships/image" Target="media/image1.jpeg"/><Relationship Id="rId38" Type="http://schemas.openxmlformats.org/officeDocument/2006/relationships/theme" Target="theme/theme1.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header" Target="header10.xml"/><Relationship Id="rId34" Type="http://schemas.openxmlformats.org/officeDocument/2006/relationships/header" Target="header9.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31566</Words>
  <Characters>33036</Characters>
  <Lines>305</Lines>
  <Paragraphs>86</Paragraphs>
  <TotalTime>5</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李月兵</cp:lastModifiedBy>
  <cp:lastPrinted>2022-07-01T11:19:00Z</cp:lastPrinted>
  <dcterms:modified xsi:type="dcterms:W3CDTF">2025-04-24T01:53:12Z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