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04A" w:rsidRDefault="003A104A">
      <w:pPr>
        <w:rPr>
          <w:b/>
        </w:rPr>
      </w:pPr>
    </w:p>
    <w:p w:rsidR="003A104A" w:rsidRDefault="003A104A">
      <w:pPr>
        <w:rPr>
          <w:b/>
        </w:rPr>
      </w:pPr>
    </w:p>
    <w:p w:rsidR="003A104A" w:rsidRDefault="003A104A">
      <w:pPr>
        <w:rPr>
          <w:b/>
        </w:rPr>
      </w:pPr>
    </w:p>
    <w:p w:rsidR="003A104A" w:rsidRDefault="003A104A">
      <w:pPr>
        <w:rPr>
          <w:b/>
        </w:rPr>
      </w:pPr>
    </w:p>
    <w:p w:rsidR="003A104A" w:rsidRDefault="003A104A">
      <w:pPr>
        <w:rPr>
          <w:b/>
        </w:rPr>
      </w:pPr>
    </w:p>
    <w:p w:rsidR="003A104A" w:rsidRDefault="003A104A">
      <w:pPr>
        <w:rPr>
          <w:b/>
        </w:rPr>
      </w:pPr>
    </w:p>
    <w:p w:rsidR="003A104A" w:rsidRDefault="003A104A">
      <w:pPr>
        <w:rPr>
          <w:b/>
        </w:rPr>
      </w:pPr>
    </w:p>
    <w:p w:rsidR="003A104A" w:rsidRDefault="003A104A">
      <w:pPr>
        <w:rPr>
          <w:b/>
        </w:rPr>
      </w:pPr>
    </w:p>
    <w:p w:rsidR="003A104A" w:rsidRDefault="00D26C63">
      <w:pPr>
        <w:jc w:val="center"/>
        <w:rPr>
          <w:rFonts w:ascii="黑体" w:eastAsia="黑体"/>
          <w:b/>
          <w:sz w:val="52"/>
          <w:szCs w:val="52"/>
        </w:rPr>
      </w:pPr>
      <w:r>
        <w:rPr>
          <w:rFonts w:ascii="黑体" w:eastAsia="黑体" w:hint="eastAsia"/>
          <w:b/>
          <w:sz w:val="52"/>
          <w:szCs w:val="52"/>
        </w:rPr>
        <w:t>采购产品质量保证与服务协议</w:t>
      </w: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D26C63">
      <w:pPr>
        <w:tabs>
          <w:tab w:val="left" w:pos="2130"/>
        </w:tabs>
        <w:ind w:firstLineChars="200" w:firstLine="422"/>
        <w:rPr>
          <w:b/>
        </w:rPr>
      </w:pPr>
      <w:r>
        <w:rPr>
          <w:b/>
        </w:rPr>
        <w:tab/>
      </w:r>
    </w:p>
    <w:p w:rsidR="003A104A" w:rsidRDefault="00D26C63">
      <w:pPr>
        <w:ind w:firstLineChars="200" w:firstLine="422"/>
        <w:rPr>
          <w:b/>
        </w:rPr>
      </w:pPr>
      <w:r>
        <w:rPr>
          <w:rFonts w:hint="eastAsia"/>
          <w:b/>
          <w:noProof/>
        </w:rPr>
        <w:drawing>
          <wp:anchor distT="0" distB="0" distL="114300" distR="114300" simplePos="0" relativeHeight="251659264" behindDoc="0" locked="0" layoutInCell="1" allowOverlap="1">
            <wp:simplePos x="0" y="0"/>
            <wp:positionH relativeFrom="column">
              <wp:posOffset>1889760</wp:posOffset>
            </wp:positionH>
            <wp:positionV relativeFrom="paragraph">
              <wp:posOffset>52705</wp:posOffset>
            </wp:positionV>
            <wp:extent cx="2337435" cy="2308860"/>
            <wp:effectExtent l="19050" t="0" r="5715" b="0"/>
            <wp:wrapNone/>
            <wp:docPr id="2" name="图片 2" descr="重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重汽"/>
                    <pic:cNvPicPr>
                      <a:picLocks noChangeAspect="1" noChangeArrowheads="1"/>
                    </pic:cNvPicPr>
                  </pic:nvPicPr>
                  <pic:blipFill>
                    <a:blip r:embed="rId8" cstate="print"/>
                    <a:srcRect/>
                    <a:stretch>
                      <a:fillRect/>
                    </a:stretch>
                  </pic:blipFill>
                  <pic:spPr>
                    <a:xfrm>
                      <a:off x="0" y="0"/>
                      <a:ext cx="2337435" cy="2308860"/>
                    </a:xfrm>
                    <a:prstGeom prst="rect">
                      <a:avLst/>
                    </a:prstGeom>
                    <a:noFill/>
                    <a:ln w="9525">
                      <a:noFill/>
                      <a:miter lim="800000"/>
                      <a:headEnd/>
                      <a:tailEnd/>
                    </a:ln>
                  </pic:spPr>
                </pic:pic>
              </a:graphicData>
            </a:graphic>
          </wp:anchor>
        </w:drawing>
      </w: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422"/>
        <w:rPr>
          <w:b/>
        </w:rPr>
      </w:pPr>
    </w:p>
    <w:p w:rsidR="003A104A" w:rsidRDefault="003A104A">
      <w:pPr>
        <w:ind w:firstLineChars="200" w:firstLine="643"/>
        <w:jc w:val="left"/>
        <w:rPr>
          <w:b/>
          <w:sz w:val="32"/>
          <w:szCs w:val="32"/>
        </w:rPr>
      </w:pPr>
    </w:p>
    <w:p w:rsidR="003A104A" w:rsidRDefault="00D26C63">
      <w:pPr>
        <w:jc w:val="center"/>
        <w:rPr>
          <w:rFonts w:ascii="微软雅黑" w:eastAsia="微软雅黑" w:hAnsi="微软雅黑" w:cs="Times New Roman"/>
          <w:sz w:val="32"/>
          <w:szCs w:val="32"/>
        </w:rPr>
      </w:pPr>
      <w:r>
        <w:rPr>
          <w:rFonts w:ascii="微软雅黑" w:eastAsia="微软雅黑" w:hAnsi="微软雅黑" w:cs="Times New Roman" w:hint="eastAsia"/>
          <w:sz w:val="32"/>
          <w:szCs w:val="32"/>
        </w:rPr>
        <w:t>重汽（济南）车桥有限公司</w:t>
      </w:r>
    </w:p>
    <w:p w:rsidR="003A104A" w:rsidRDefault="003A104A">
      <w:pPr>
        <w:ind w:firstLineChars="200" w:firstLine="640"/>
        <w:rPr>
          <w:rFonts w:ascii="微软雅黑" w:eastAsia="微软雅黑" w:hAnsi="微软雅黑"/>
          <w:b/>
          <w:sz w:val="32"/>
          <w:szCs w:val="32"/>
        </w:rPr>
      </w:pPr>
    </w:p>
    <w:p w:rsidR="003A104A" w:rsidRDefault="003A104A">
      <w:pPr>
        <w:ind w:firstLineChars="200" w:firstLine="640"/>
        <w:rPr>
          <w:rFonts w:ascii="微软雅黑" w:eastAsia="微软雅黑" w:hAnsi="微软雅黑"/>
          <w:b/>
          <w:sz w:val="32"/>
          <w:szCs w:val="32"/>
        </w:rPr>
      </w:pPr>
    </w:p>
    <w:p w:rsidR="003A104A" w:rsidRDefault="003A104A">
      <w:pPr>
        <w:jc w:val="center"/>
        <w:rPr>
          <w:rFonts w:ascii="微软雅黑" w:eastAsia="微软雅黑" w:hAnsi="微软雅黑"/>
          <w:sz w:val="32"/>
          <w:szCs w:val="32"/>
        </w:rPr>
      </w:pPr>
    </w:p>
    <w:p w:rsidR="003A104A" w:rsidRDefault="00D26C63">
      <w:pPr>
        <w:jc w:val="center"/>
        <w:rPr>
          <w:rFonts w:ascii="微软雅黑" w:eastAsia="微软雅黑" w:hAnsi="微软雅黑"/>
          <w:sz w:val="32"/>
          <w:szCs w:val="32"/>
        </w:rPr>
      </w:pPr>
      <w:r>
        <w:rPr>
          <w:rFonts w:ascii="微软雅黑" w:eastAsia="微软雅黑" w:hAnsi="微软雅黑" w:hint="eastAsia"/>
          <w:sz w:val="32"/>
          <w:szCs w:val="32"/>
        </w:rPr>
        <w:t>采购产品质量保证与服务协议</w:t>
      </w:r>
    </w:p>
    <w:p w:rsidR="003A104A" w:rsidRDefault="00D26C63">
      <w:pPr>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甲方：重汽（济南）车桥有限公司</w:t>
      </w:r>
    </w:p>
    <w:p w:rsidR="003A104A" w:rsidRDefault="00D26C63">
      <w:pPr>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乙方：</w:t>
      </w:r>
      <w:r w:rsidR="00AA6B74">
        <w:rPr>
          <w:rFonts w:ascii="仿宋" w:eastAsia="仿宋" w:hAnsi="仿宋" w:cs="Times New Roman"/>
          <w:sz w:val="28"/>
          <w:szCs w:val="28"/>
        </w:rPr>
        <w:t xml:space="preserve"> </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为保持产品质量的稳定与持续提升，明确产品质量的责任与义务，甲、乙双方经友好协商，签订《采购产品质量保证与服务协议》（以下简称“本协议”）以资共同遵守。</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1．协议适用范围</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本协议所指产品，是指甲方从乙方采购用于甲方生产配套和/或后市场服务的产品。</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2．管理职责</w:t>
      </w:r>
    </w:p>
    <w:p w:rsidR="003A104A" w:rsidRDefault="00D26C63">
      <w:pPr>
        <w:ind w:firstLineChars="200" w:firstLine="480"/>
        <w:jc w:val="left"/>
        <w:rPr>
          <w:rFonts w:ascii="仿宋" w:eastAsia="仿宋" w:hAnsi="仿宋" w:cs="Times New Roman"/>
          <w:sz w:val="24"/>
          <w:szCs w:val="24"/>
        </w:rPr>
      </w:pPr>
      <w:bookmarkStart w:id="2" w:name="_Toc532218608"/>
      <w:bookmarkStart w:id="3" w:name="二、质量保证"/>
      <w:bookmarkStart w:id="4" w:name="_Toc532218607"/>
      <w:r>
        <w:rPr>
          <w:rFonts w:ascii="仿宋" w:eastAsia="仿宋" w:hAnsi="仿宋" w:cs="Times New Roman" w:hint="eastAsia"/>
          <w:sz w:val="24"/>
          <w:szCs w:val="24"/>
        </w:rPr>
        <w:t>2.1 甲方职责</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2.1.1甲方应向乙方明确提出技术和质量要求。当甲方变更技术和/或质量要求时，应及时通知乙方。</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2.1.</w:t>
      </w:r>
      <w:r>
        <w:rPr>
          <w:rFonts w:ascii="仿宋" w:eastAsia="仿宋" w:hAnsi="仿宋"/>
          <w:sz w:val="24"/>
          <w:szCs w:val="24"/>
        </w:rPr>
        <w:t>2</w:t>
      </w:r>
      <w:r>
        <w:rPr>
          <w:rFonts w:ascii="仿宋" w:eastAsia="仿宋" w:hAnsi="仿宋" w:hint="eastAsia"/>
          <w:sz w:val="24"/>
          <w:szCs w:val="24"/>
        </w:rPr>
        <w:t>甲方应及时向乙方反馈其所提供产品存在的质量问题（包括因包装不良导致），并负责向乙方提供不合格品资料及质量信息。</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2.1.</w:t>
      </w:r>
      <w:r>
        <w:rPr>
          <w:rFonts w:ascii="仿宋" w:eastAsia="仿宋" w:hAnsi="仿宋"/>
          <w:sz w:val="24"/>
          <w:szCs w:val="24"/>
        </w:rPr>
        <w:t>3</w:t>
      </w:r>
      <w:r>
        <w:rPr>
          <w:rFonts w:ascii="仿宋" w:eastAsia="仿宋" w:hAnsi="仿宋" w:hint="eastAsia"/>
          <w:sz w:val="24"/>
          <w:szCs w:val="24"/>
        </w:rPr>
        <w:t>甲方负责验证乙方相关质量改进的有效性，客户有要求或必要时直接到乙方现场进行产品验证。</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2.1.</w:t>
      </w:r>
      <w:r>
        <w:rPr>
          <w:rFonts w:ascii="仿宋" w:eastAsia="仿宋" w:hAnsi="仿宋"/>
          <w:sz w:val="24"/>
          <w:szCs w:val="24"/>
        </w:rPr>
        <w:t>4</w:t>
      </w:r>
      <w:r>
        <w:rPr>
          <w:rFonts w:ascii="仿宋" w:eastAsia="仿宋" w:hAnsi="仿宋" w:hint="eastAsia"/>
          <w:sz w:val="24"/>
          <w:szCs w:val="24"/>
        </w:rPr>
        <w:t>甲方按计划或根据需要不定期的对乙方质量保证能力等方面进行审核。</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2.1.</w:t>
      </w:r>
      <w:r>
        <w:rPr>
          <w:rFonts w:ascii="仿宋" w:eastAsia="仿宋" w:hAnsi="仿宋"/>
          <w:sz w:val="24"/>
          <w:szCs w:val="24"/>
        </w:rPr>
        <w:t>5</w:t>
      </w:r>
      <w:r>
        <w:rPr>
          <w:rFonts w:ascii="仿宋" w:eastAsia="仿宋" w:hAnsi="仿宋" w:hint="eastAsia"/>
          <w:sz w:val="24"/>
          <w:szCs w:val="24"/>
        </w:rPr>
        <w:t>甲方应提出从乙方采购产品的检验技术标准，若采用乙方检验标准时乙方应在甲方备案，并经甲方认可，必要时对双方的检验方法进行统一。对于甲方要求检测而乙方又不具备检验能力的产品及项目，乙方应选择甲方认可的第三方检测机构检测。第三方检测产生的费用由乙方承担。甲方可视检验情况对检验项目和周期进行调整。</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2.2乙方职责</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2.2.1乙方应按照IATF16949或ISO9001标准以及甲方要求建立、健全和持续改进质量管理体系，取得认证证书，以确保向甲方长期稳定地提供合格产品；并及时将证书有效版本提交至甲方采购部门备案。</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2.2.</w:t>
      </w:r>
      <w:r>
        <w:rPr>
          <w:rFonts w:ascii="仿宋" w:eastAsia="仿宋" w:hAnsi="仿宋" w:cs="Times New Roman"/>
          <w:sz w:val="24"/>
          <w:szCs w:val="24"/>
        </w:rPr>
        <w:t>2</w:t>
      </w:r>
      <w:r>
        <w:rPr>
          <w:rFonts w:ascii="仿宋" w:eastAsia="仿宋" w:hAnsi="仿宋" w:cs="Times New Roman" w:hint="eastAsia"/>
          <w:sz w:val="24"/>
          <w:szCs w:val="24"/>
        </w:rPr>
        <w:t>对于国家准入或出口目的国要求的法规件，乙方产品应满足法规要求。对于强制性认证的产品或双方确认由乙方负责取得出口认证的产品，乙方负责取得认证证书并报甲方备案，乙方应保证供货期间认证证书持续有效，并应在认证证书到期前2个月告知甲方；乙方认证证书（被）暂停或撤销或注销的，乙方证书应在暂停或撤销或注销1个工作日内告知甲方。</w:t>
      </w:r>
    </w:p>
    <w:p w:rsidR="003A104A" w:rsidRDefault="00D26C63">
      <w:pPr>
        <w:tabs>
          <w:tab w:val="left" w:pos="0"/>
        </w:tabs>
        <w:ind w:firstLineChars="200" w:firstLine="480"/>
        <w:rPr>
          <w:rFonts w:ascii="仿宋" w:eastAsia="仿宋" w:hAnsi="仿宋"/>
          <w:sz w:val="24"/>
          <w:szCs w:val="24"/>
        </w:rPr>
      </w:pPr>
      <w:bookmarkStart w:id="5" w:name="_Hlk4226509"/>
      <w:r>
        <w:rPr>
          <w:rFonts w:ascii="仿宋" w:eastAsia="仿宋" w:hAnsi="仿宋" w:hint="eastAsia"/>
          <w:sz w:val="24"/>
          <w:szCs w:val="24"/>
        </w:rPr>
        <w:t>2.2</w:t>
      </w:r>
      <w:bookmarkEnd w:id="5"/>
      <w:r>
        <w:rPr>
          <w:rFonts w:ascii="仿宋" w:eastAsia="仿宋" w:hAnsi="仿宋" w:hint="eastAsia"/>
          <w:sz w:val="24"/>
          <w:szCs w:val="24"/>
        </w:rPr>
        <w:t>.</w:t>
      </w:r>
      <w:r>
        <w:rPr>
          <w:rFonts w:ascii="仿宋" w:eastAsia="仿宋" w:hAnsi="仿宋"/>
          <w:sz w:val="24"/>
          <w:szCs w:val="24"/>
        </w:rPr>
        <w:t>3</w:t>
      </w:r>
      <w:r>
        <w:rPr>
          <w:rFonts w:ascii="仿宋" w:eastAsia="仿宋" w:hAnsi="仿宋" w:hint="eastAsia"/>
          <w:sz w:val="24"/>
          <w:szCs w:val="24"/>
        </w:rPr>
        <w:t>乙方应对其产品的特殊过程按GB/T19001-2016/ISO9001:2015等质量标准要求进行过程确认，如甲方有需要时，乙方承诺将确认、控制和过程能力的相关资料提交甲方采购部门。</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2.2.</w:t>
      </w:r>
      <w:r>
        <w:rPr>
          <w:rFonts w:ascii="仿宋" w:eastAsia="仿宋" w:hAnsi="仿宋"/>
          <w:sz w:val="24"/>
          <w:szCs w:val="24"/>
        </w:rPr>
        <w:t>4</w:t>
      </w:r>
      <w:r>
        <w:rPr>
          <w:rFonts w:ascii="仿宋" w:eastAsia="仿宋" w:hAnsi="仿宋" w:hint="eastAsia"/>
          <w:sz w:val="24"/>
          <w:szCs w:val="24"/>
        </w:rPr>
        <w:t>乙方应按要求提交RSAP、PPAP文件，提交其关键零部件、关键原材料供方明细。当供方发生变化时，需提交新的供方明细，重新提交RSAP、PPAP文件。</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2.2.</w:t>
      </w:r>
      <w:r>
        <w:rPr>
          <w:rFonts w:ascii="仿宋" w:eastAsia="仿宋" w:hAnsi="仿宋"/>
          <w:sz w:val="24"/>
          <w:szCs w:val="24"/>
        </w:rPr>
        <w:t>5</w:t>
      </w:r>
      <w:r>
        <w:rPr>
          <w:rFonts w:ascii="仿宋" w:eastAsia="仿宋" w:hAnsi="仿宋" w:hint="eastAsia"/>
          <w:sz w:val="24"/>
          <w:szCs w:val="24"/>
        </w:rPr>
        <w:t>当客户或甲方到乙方进行产品验证时，乙方应积极配合，但验证的结论不作为乙方交付的依据。</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2.2.6当乙方发生改制、合并、兼并、分立、设立分支机构、迁址、更名、法定代表人及质量、销售业务负责人变更、生产线改造、生产设备更换等情况时，乙方应按照甲方供应商变更要求将变更情况书面提交至甲方采购部门。甲方需要按照要求进行审核评审的，乙方应积极配合，甲方经审核评审认为不符合要求的，有权要求乙方按照甲方的管理要求进行调整。甲方经审核评审通过后，乙方应及时将变更的认证文件、体系证书等及时提供甲方备案。</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lastRenderedPageBreak/>
        <w:t>2.2.7当发生以下事项时，乙方应向甲方或甲方集团公司提交变更申请，经甲方评估和批准完成重新释放批准后方可继续供货。</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a</w:t>
      </w:r>
      <w:r>
        <w:rPr>
          <w:rFonts w:ascii="仿宋" w:eastAsia="仿宋" w:hAnsi="仿宋" w:cs="Times New Roman"/>
          <w:sz w:val="24"/>
          <w:szCs w:val="24"/>
        </w:rPr>
        <w:t>.</w:t>
      </w:r>
      <w:r>
        <w:rPr>
          <w:rFonts w:ascii="仿宋" w:eastAsia="仿宋" w:hAnsi="仿宋" w:cs="Times New Roman" w:hint="eastAsia"/>
          <w:sz w:val="24"/>
          <w:szCs w:val="24"/>
        </w:rPr>
        <w:t>设计、规范、材料更改；</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b</w:t>
      </w:r>
      <w:r>
        <w:rPr>
          <w:rFonts w:ascii="仿宋" w:eastAsia="仿宋" w:hAnsi="仿宋" w:cs="Times New Roman"/>
          <w:sz w:val="24"/>
          <w:szCs w:val="24"/>
        </w:rPr>
        <w:t>.</w:t>
      </w:r>
      <w:r>
        <w:rPr>
          <w:rFonts w:ascii="仿宋" w:eastAsia="仿宋" w:hAnsi="仿宋" w:cs="Times New Roman" w:hint="eastAsia"/>
          <w:sz w:val="24"/>
          <w:szCs w:val="24"/>
        </w:rPr>
        <w:t>使用代用材料或进行设计偏离等事项；</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c</w:t>
      </w:r>
      <w:r>
        <w:rPr>
          <w:rFonts w:ascii="仿宋" w:eastAsia="仿宋" w:hAnsi="仿宋" w:cs="Times New Roman"/>
          <w:sz w:val="24"/>
          <w:szCs w:val="24"/>
        </w:rPr>
        <w:t>.</w:t>
      </w:r>
      <w:r>
        <w:rPr>
          <w:rFonts w:ascii="仿宋" w:eastAsia="仿宋" w:hAnsi="仿宋" w:cs="Times New Roman" w:hint="eastAsia"/>
          <w:sz w:val="24"/>
          <w:szCs w:val="24"/>
        </w:rPr>
        <w:t>启用因质量问题停用的配套产品；</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d</w:t>
      </w:r>
      <w:r>
        <w:rPr>
          <w:rFonts w:ascii="仿宋" w:eastAsia="仿宋" w:hAnsi="仿宋" w:cs="Times New Roman"/>
          <w:sz w:val="24"/>
          <w:szCs w:val="24"/>
        </w:rPr>
        <w:t>.</w:t>
      </w:r>
      <w:r>
        <w:rPr>
          <w:rFonts w:ascii="仿宋" w:eastAsia="仿宋" w:hAnsi="仿宋" w:cs="Times New Roman" w:hint="eastAsia"/>
          <w:sz w:val="24"/>
          <w:szCs w:val="24"/>
        </w:rPr>
        <w:t>生产工艺和关重设备变更；</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e</w:t>
      </w:r>
      <w:r>
        <w:rPr>
          <w:rFonts w:ascii="仿宋" w:eastAsia="仿宋" w:hAnsi="仿宋" w:cs="Times New Roman"/>
          <w:sz w:val="24"/>
          <w:szCs w:val="24"/>
        </w:rPr>
        <w:t>.</w:t>
      </w:r>
      <w:r>
        <w:rPr>
          <w:rFonts w:ascii="仿宋" w:eastAsia="仿宋" w:hAnsi="仿宋" w:cs="Times New Roman" w:hint="eastAsia"/>
          <w:sz w:val="24"/>
          <w:szCs w:val="24"/>
        </w:rPr>
        <w:t>生产设备停用12个月以上后恢复生产；</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f</w:t>
      </w:r>
      <w:r>
        <w:rPr>
          <w:rFonts w:ascii="仿宋" w:eastAsia="仿宋" w:hAnsi="仿宋" w:cs="Times New Roman"/>
          <w:sz w:val="24"/>
          <w:szCs w:val="24"/>
        </w:rPr>
        <w:t>.</w:t>
      </w:r>
      <w:r>
        <w:rPr>
          <w:rFonts w:ascii="仿宋" w:eastAsia="仿宋" w:hAnsi="仿宋" w:cs="Times New Roman" w:hint="eastAsia"/>
          <w:sz w:val="24"/>
          <w:szCs w:val="24"/>
        </w:rPr>
        <w:t>生产地变迁，或生产线重新布局；</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g</w:t>
      </w:r>
      <w:r>
        <w:rPr>
          <w:rFonts w:ascii="仿宋" w:eastAsia="仿宋" w:hAnsi="仿宋" w:cs="Times New Roman"/>
          <w:sz w:val="24"/>
          <w:szCs w:val="24"/>
        </w:rPr>
        <w:t>.</w:t>
      </w:r>
      <w:r>
        <w:rPr>
          <w:rFonts w:ascii="仿宋" w:eastAsia="仿宋" w:hAnsi="仿宋" w:cs="Times New Roman" w:hint="eastAsia"/>
          <w:sz w:val="24"/>
          <w:szCs w:val="24"/>
        </w:rPr>
        <w:t>工装、模具、设备大修或重新装备；</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h</w:t>
      </w:r>
      <w:r>
        <w:rPr>
          <w:rFonts w:ascii="仿宋" w:eastAsia="仿宋" w:hAnsi="仿宋" w:cs="Times New Roman"/>
          <w:sz w:val="24"/>
          <w:szCs w:val="24"/>
        </w:rPr>
        <w:t>.</w:t>
      </w:r>
      <w:r>
        <w:rPr>
          <w:rFonts w:ascii="仿宋" w:eastAsia="仿宋" w:hAnsi="仿宋" w:cs="Times New Roman" w:hint="eastAsia"/>
          <w:sz w:val="24"/>
          <w:szCs w:val="24"/>
        </w:rPr>
        <w:t>重要（含指定）分供方变更。</w:t>
      </w:r>
    </w:p>
    <w:p w:rsidR="003A104A" w:rsidRDefault="00D26C63">
      <w:pPr>
        <w:tabs>
          <w:tab w:val="left" w:pos="0"/>
        </w:tabs>
        <w:ind w:firstLineChars="200" w:firstLine="480"/>
        <w:rPr>
          <w:rFonts w:ascii="仿宋" w:eastAsia="仿宋" w:hAnsi="仿宋"/>
          <w:sz w:val="24"/>
          <w:szCs w:val="24"/>
        </w:rPr>
      </w:pPr>
      <w:r>
        <w:rPr>
          <w:rFonts w:ascii="仿宋" w:eastAsia="仿宋" w:hAnsi="仿宋" w:hint="eastAsia"/>
          <w:sz w:val="24"/>
          <w:szCs w:val="24"/>
        </w:rPr>
        <w:t>2.2.</w:t>
      </w:r>
      <w:r>
        <w:rPr>
          <w:rFonts w:ascii="仿宋" w:eastAsia="仿宋" w:hAnsi="仿宋"/>
          <w:sz w:val="24"/>
          <w:szCs w:val="24"/>
        </w:rPr>
        <w:t>8</w:t>
      </w:r>
      <w:r>
        <w:rPr>
          <w:rFonts w:ascii="仿宋" w:eastAsia="仿宋" w:hAnsi="仿宋" w:hint="eastAsia"/>
          <w:sz w:val="24"/>
          <w:szCs w:val="24"/>
        </w:rPr>
        <w:t>乙方为甲方制造产品的生产现场应满足甲方二方审核要求。如果出口目的国对乙方有一致性审查要求，乙方应全力配合客户或甲方的审查工作，包括但不限于提供必要的文件资料、现场检查配合、进行必要的检测等要求。</w:t>
      </w:r>
    </w:p>
    <w:p w:rsidR="003A104A" w:rsidRDefault="00D26C63">
      <w:pPr>
        <w:tabs>
          <w:tab w:val="left" w:pos="0"/>
        </w:tabs>
        <w:ind w:firstLineChars="200" w:firstLine="480"/>
        <w:rPr>
          <w:rFonts w:ascii="仿宋" w:eastAsia="仿宋" w:hAnsi="仿宋"/>
          <w:sz w:val="24"/>
          <w:szCs w:val="24"/>
        </w:rPr>
      </w:pPr>
      <w:r>
        <w:rPr>
          <w:rFonts w:ascii="仿宋" w:eastAsia="仿宋" w:hAnsi="仿宋"/>
          <w:sz w:val="24"/>
          <w:szCs w:val="24"/>
        </w:rPr>
        <w:t xml:space="preserve">2.2.9 </w:t>
      </w:r>
      <w:r>
        <w:rPr>
          <w:rFonts w:ascii="仿宋" w:eastAsia="仿宋" w:hAnsi="仿宋" w:hint="eastAsia"/>
          <w:sz w:val="24"/>
          <w:szCs w:val="24"/>
        </w:rPr>
        <w:t>乙方在为甲方提供配套产品服务期间，对甲方及/或甲方集团公司相关管理制度流程均已知晓并同意执行。</w:t>
      </w:r>
    </w:p>
    <w:p w:rsidR="003A104A" w:rsidRDefault="00D26C63">
      <w:pPr>
        <w:pStyle w:val="af4"/>
        <w:ind w:firstLineChars="200" w:firstLine="482"/>
        <w:rPr>
          <w:rFonts w:ascii="仿宋" w:eastAsia="仿宋" w:hAnsi="仿宋" w:cs="Times New Roman"/>
          <w:b/>
          <w:sz w:val="24"/>
          <w:szCs w:val="24"/>
        </w:rPr>
      </w:pPr>
      <w:r>
        <w:rPr>
          <w:rFonts w:ascii="仿宋" w:eastAsia="仿宋" w:hAnsi="仿宋" w:cs="Times New Roman" w:hint="eastAsia"/>
          <w:b/>
          <w:sz w:val="24"/>
          <w:szCs w:val="24"/>
        </w:rPr>
        <w:t>3．质量条款</w:t>
      </w:r>
    </w:p>
    <w:p w:rsidR="003A104A" w:rsidRDefault="00D26C63">
      <w:pPr>
        <w:tabs>
          <w:tab w:val="left" w:pos="0"/>
        </w:tabs>
        <w:ind w:firstLineChars="200" w:firstLine="482"/>
        <w:rPr>
          <w:rFonts w:ascii="仿宋" w:eastAsia="仿宋" w:hAnsi="仿宋"/>
          <w:b/>
          <w:sz w:val="24"/>
          <w:szCs w:val="24"/>
        </w:rPr>
      </w:pPr>
      <w:r>
        <w:rPr>
          <w:rFonts w:ascii="仿宋" w:eastAsia="仿宋" w:hAnsi="仿宋" w:hint="eastAsia"/>
          <w:b/>
          <w:sz w:val="24"/>
          <w:szCs w:val="24"/>
        </w:rPr>
        <w:t>3.1实物质量标准</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3.1.1乙方负责向甲方提供符合标准要求和甲方要求的产品。制造过程中需要更改图样、工艺、包装及技术要求时，需经甲方书面批准，非经甲方书面批准，不得擅自更改。</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产品符合性的判定依据包括但不限于以下内容：</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a.产品图样；</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b.产品技术文件；</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c.产品技术协议；</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d.产品相关的现行标准；</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e.产品的会签图纸或双方确认的技术要求；</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f</w:t>
      </w:r>
      <w:r>
        <w:rPr>
          <w:rFonts w:ascii="仿宋" w:eastAsia="仿宋" w:hAnsi="仿宋" w:cs="Times New Roman"/>
          <w:sz w:val="24"/>
          <w:szCs w:val="24"/>
        </w:rPr>
        <w:t>.</w:t>
      </w:r>
      <w:r>
        <w:rPr>
          <w:rFonts w:ascii="仿宋" w:eastAsia="仿宋" w:hAnsi="仿宋" w:cs="Times New Roman" w:hint="eastAsia"/>
          <w:sz w:val="24"/>
          <w:szCs w:val="24"/>
        </w:rPr>
        <w:t>产品包装要求；</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g.产品质量目标要求。</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3.1.2乙方提供给甲方的产品，应附有：</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a</w:t>
      </w:r>
      <w:r>
        <w:rPr>
          <w:rFonts w:ascii="仿宋" w:eastAsia="仿宋" w:hAnsi="仿宋" w:cs="Times New Roman"/>
          <w:sz w:val="24"/>
          <w:szCs w:val="24"/>
        </w:rPr>
        <w:t>.</w:t>
      </w:r>
      <w:r>
        <w:rPr>
          <w:rFonts w:ascii="仿宋" w:eastAsia="仿宋" w:hAnsi="仿宋" w:cs="Times New Roman" w:hint="eastAsia"/>
          <w:sz w:val="24"/>
          <w:szCs w:val="24"/>
        </w:rPr>
        <w:t>符合甲方要求的自检报告及产品合格证明，乙方应对报告的数据真实性负责。必要时按甲方要求提供双方认可的第三方检测报告；</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b.符合甲方要求的产品铭牌、编号及标识；</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c.甲方要求的产品说明书；</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d.具有可追溯性的批次信息；</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e.甲方有要求时，应按甲方相关标准携带条码。</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3.2检验要求</w:t>
      </w:r>
    </w:p>
    <w:p w:rsidR="003A104A" w:rsidRDefault="00D26C63">
      <w:pPr>
        <w:ind w:firstLineChars="200" w:firstLine="480"/>
        <w:jc w:val="left"/>
        <w:rPr>
          <w:rFonts w:ascii="仿宋" w:eastAsia="仿宋" w:hAnsi="仿宋" w:cs="Times New Roman"/>
          <w:sz w:val="24"/>
          <w:szCs w:val="24"/>
        </w:rPr>
      </w:pPr>
      <w:r>
        <w:rPr>
          <w:rFonts w:ascii="仿宋" w:eastAsia="仿宋" w:hAnsi="仿宋" w:hint="eastAsia"/>
          <w:sz w:val="24"/>
          <w:szCs w:val="24"/>
        </w:rPr>
        <w:t>3.2.1</w:t>
      </w:r>
      <w:r>
        <w:rPr>
          <w:rFonts w:ascii="仿宋" w:eastAsia="仿宋" w:hAnsi="仿宋" w:cs="Times New Roman" w:hint="eastAsia"/>
          <w:sz w:val="24"/>
          <w:szCs w:val="24"/>
        </w:rPr>
        <w:t>乙方应按照国家法律法规及甲方技术和质量要求进行产品检验，建立和保留进货检验、过程检验和出厂检验记录，并按甲方要求提交或备查。</w:t>
      </w:r>
      <w:proofErr w:type="gramStart"/>
      <w:r>
        <w:rPr>
          <w:rFonts w:ascii="仿宋" w:eastAsia="仿宋" w:hAnsi="仿宋" w:cs="Times New Roman" w:hint="eastAsia"/>
          <w:sz w:val="24"/>
          <w:szCs w:val="24"/>
        </w:rPr>
        <w:t>对于法规件</w:t>
      </w:r>
      <w:proofErr w:type="gramEnd"/>
      <w:r>
        <w:rPr>
          <w:rFonts w:ascii="仿宋" w:eastAsia="仿宋" w:hAnsi="仿宋" w:cs="Times New Roman" w:hint="eastAsia"/>
          <w:sz w:val="24"/>
          <w:szCs w:val="24"/>
        </w:rPr>
        <w:t>，应按照法规保存要求保留相关检验记录。</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3.2.2乙方应配备必要的试验检验设备，建立覆盖产品原材料检验、功能检测、可靠性检测等方面的试验检验能力。</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3.2.3对于异形件、内外饰等型面件，乙方应制作专用检具。同时甲方有权要求乙方提供专用检具供甲方使用，乙方应积极配合完成。</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3.2.4乙方应根据产品质量特性要求，制订产品检验控制计划并认真组织实施。同时应按甲方产品质量控制计划规定的时限，提供相应的产品检验报告。</w:t>
      </w:r>
    </w:p>
    <w:p w:rsidR="003A104A" w:rsidRDefault="00D26C63">
      <w:pPr>
        <w:ind w:firstLineChars="200" w:firstLine="480"/>
        <w:jc w:val="left"/>
        <w:rPr>
          <w:rFonts w:ascii="仿宋" w:eastAsia="仿宋" w:hAnsi="仿宋"/>
          <w:kern w:val="0"/>
          <w:sz w:val="24"/>
        </w:rPr>
      </w:pPr>
      <w:r>
        <w:rPr>
          <w:rFonts w:ascii="仿宋" w:eastAsia="仿宋" w:hAnsi="仿宋" w:hint="eastAsia"/>
          <w:kern w:val="0"/>
          <w:sz w:val="24"/>
        </w:rPr>
        <w:lastRenderedPageBreak/>
        <w:t>3</w:t>
      </w:r>
      <w:r>
        <w:rPr>
          <w:rFonts w:ascii="仿宋" w:eastAsia="仿宋" w:hAnsi="仿宋"/>
          <w:kern w:val="0"/>
          <w:sz w:val="24"/>
        </w:rPr>
        <w:t xml:space="preserve">.2.5 </w:t>
      </w:r>
      <w:r>
        <w:rPr>
          <w:rFonts w:ascii="仿宋" w:eastAsia="仿宋" w:hAnsi="仿宋" w:hint="eastAsia"/>
          <w:kern w:val="0"/>
          <w:sz w:val="24"/>
        </w:rPr>
        <w:t>进货检验过程中的破坏性检验，由乙方承担破坏性检验的样件费用。破坏性检验合格残留样件，不再返回乙方，</w:t>
      </w:r>
      <w:r>
        <w:rPr>
          <w:rFonts w:ascii="仿宋" w:eastAsia="仿宋" w:hAnsi="仿宋" w:hint="eastAsia"/>
          <w:sz w:val="24"/>
          <w:szCs w:val="24"/>
        </w:rPr>
        <w:t>由甲方自行按废旧物资处置。</w:t>
      </w:r>
      <w:r>
        <w:rPr>
          <w:rFonts w:ascii="仿宋" w:eastAsia="仿宋" w:hAnsi="仿宋" w:hint="eastAsia"/>
          <w:kern w:val="0"/>
          <w:sz w:val="24"/>
        </w:rPr>
        <w:t>破坏性检验不合格残留样件，</w:t>
      </w:r>
      <w:r>
        <w:rPr>
          <w:rFonts w:ascii="仿宋" w:eastAsia="仿宋" w:hAnsi="仿宋" w:cs="Times New Roman" w:hint="eastAsia"/>
          <w:sz w:val="24"/>
          <w:szCs w:val="24"/>
        </w:rPr>
        <w:t>甲方通知（包括但不限于电话、邮件、SRM平台等方式）乙方后15个工作日内，若乙方未进行处置，则视为乙方自动放弃，</w:t>
      </w:r>
      <w:r>
        <w:rPr>
          <w:rFonts w:ascii="仿宋" w:eastAsia="仿宋" w:hAnsi="仿宋" w:hint="eastAsia"/>
          <w:sz w:val="24"/>
          <w:szCs w:val="24"/>
        </w:rPr>
        <w:t>由甲方自行按废旧物资处置。</w:t>
      </w:r>
    </w:p>
    <w:p w:rsidR="003A104A" w:rsidRDefault="00D26C63">
      <w:pPr>
        <w:ind w:firstLineChars="200" w:firstLine="480"/>
        <w:jc w:val="left"/>
        <w:rPr>
          <w:rFonts w:ascii="仿宋" w:eastAsia="仿宋" w:hAnsi="仿宋"/>
          <w:kern w:val="0"/>
          <w:sz w:val="24"/>
        </w:rPr>
      </w:pPr>
      <w:r>
        <w:rPr>
          <w:rFonts w:ascii="仿宋" w:eastAsia="仿宋" w:hAnsi="仿宋" w:hint="eastAsia"/>
          <w:kern w:val="0"/>
          <w:sz w:val="24"/>
        </w:rPr>
        <w:t>3</w:t>
      </w:r>
      <w:r>
        <w:rPr>
          <w:rFonts w:ascii="仿宋" w:eastAsia="仿宋" w:hAnsi="仿宋"/>
          <w:kern w:val="0"/>
          <w:sz w:val="24"/>
        </w:rPr>
        <w:t>.2.6</w:t>
      </w:r>
      <w:r>
        <w:rPr>
          <w:rFonts w:ascii="仿宋" w:eastAsia="仿宋" w:hAnsi="仿宋" w:hint="eastAsia"/>
          <w:kern w:val="0"/>
          <w:sz w:val="24"/>
        </w:rPr>
        <w:t>甲方在对乙方总成、零部件进行型式试验抽检时，甲方有权选择第三方检验机构检测，若检测合格，检测产生的费用由甲方承担，检测不合格，检测产生的费用由乙方承担。</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3.3</w:t>
      </w:r>
      <w:proofErr w:type="gramStart"/>
      <w:r>
        <w:rPr>
          <w:rFonts w:ascii="仿宋" w:eastAsia="仿宋" w:hAnsi="仿宋" w:cs="Times New Roman" w:hint="eastAsia"/>
          <w:b/>
          <w:sz w:val="24"/>
          <w:szCs w:val="24"/>
        </w:rPr>
        <w:t>二</w:t>
      </w:r>
      <w:proofErr w:type="gramEnd"/>
      <w:r>
        <w:rPr>
          <w:rFonts w:ascii="仿宋" w:eastAsia="仿宋" w:hAnsi="仿宋" w:cs="Times New Roman" w:hint="eastAsia"/>
          <w:b/>
          <w:sz w:val="24"/>
          <w:szCs w:val="24"/>
        </w:rPr>
        <w:t>方审核</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当甲方在进货检验、生产制造、售后服务和质量抽检等过程发现乙方产品存在异常质量问题时或产品启用时，可自行或经乙方同意后委托第三方机构到乙方（含乙方分供方）生产现场开展针对产品、过程或体系等的二方审核。第三方机构的</w:t>
      </w:r>
      <w:r>
        <w:rPr>
          <w:rFonts w:ascii="仿宋" w:eastAsia="仿宋" w:hAnsi="仿宋" w:cs="Times New Roman"/>
          <w:sz w:val="24"/>
          <w:szCs w:val="24"/>
        </w:rPr>
        <w:t>审核费用</w:t>
      </w:r>
      <w:r>
        <w:rPr>
          <w:rFonts w:ascii="仿宋" w:eastAsia="仿宋" w:hAnsi="仿宋" w:cs="Times New Roman" w:hint="eastAsia"/>
          <w:sz w:val="24"/>
          <w:szCs w:val="24"/>
        </w:rPr>
        <w:t>及</w:t>
      </w:r>
      <w:r>
        <w:rPr>
          <w:rFonts w:ascii="仿宋" w:eastAsia="仿宋" w:hAnsi="仿宋" w:cs="Times New Roman"/>
          <w:sz w:val="24"/>
          <w:szCs w:val="24"/>
        </w:rPr>
        <w:t>审核员的交通食宿费用由</w:t>
      </w:r>
      <w:r>
        <w:rPr>
          <w:rFonts w:ascii="仿宋" w:eastAsia="仿宋" w:hAnsi="仿宋" w:cs="Times New Roman" w:hint="eastAsia"/>
          <w:sz w:val="24"/>
          <w:szCs w:val="24"/>
        </w:rPr>
        <w:t>乙方</w:t>
      </w:r>
      <w:r>
        <w:rPr>
          <w:rFonts w:ascii="仿宋" w:eastAsia="仿宋" w:hAnsi="仿宋" w:cs="Times New Roman"/>
          <w:sz w:val="24"/>
          <w:szCs w:val="24"/>
        </w:rPr>
        <w:t>承担</w:t>
      </w:r>
      <w:r>
        <w:rPr>
          <w:rFonts w:ascii="仿宋" w:eastAsia="仿宋" w:hAnsi="仿宋" w:cs="Times New Roman" w:hint="eastAsia"/>
          <w:sz w:val="24"/>
          <w:szCs w:val="24"/>
        </w:rPr>
        <w:t>。</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3.4产品免检</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质量保证体系健全且具备向甲方持续提供合格产品的卓越供方，可向甲方提出产品免检申请，甲方审核批准后将其纳入免检供方名录。</w:t>
      </w:r>
    </w:p>
    <w:p w:rsidR="003A104A" w:rsidRDefault="00D26C63">
      <w:pPr>
        <w:pStyle w:val="af4"/>
        <w:ind w:firstLineChars="200" w:firstLine="482"/>
        <w:rPr>
          <w:rFonts w:ascii="仿宋" w:eastAsia="仿宋" w:hAnsi="仿宋" w:cs="Times New Roman"/>
          <w:b/>
          <w:sz w:val="24"/>
          <w:szCs w:val="24"/>
        </w:rPr>
      </w:pPr>
      <w:r>
        <w:rPr>
          <w:rFonts w:ascii="仿宋" w:eastAsia="仿宋" w:hAnsi="仿宋" w:cs="Times New Roman" w:hint="eastAsia"/>
          <w:b/>
          <w:sz w:val="24"/>
          <w:szCs w:val="24"/>
        </w:rPr>
        <w:t>4．服务条款</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4.1制造过程服务</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乙方应按照甲方要求提供生产制造过程的技术支持和现场服务。乙方产品在甲方进货检验、生产过程中发生质量问题，乙方在接到甲方通知后，如有需要，在双方约定的时间内到现场进行处理。</w:t>
      </w:r>
    </w:p>
    <w:p w:rsidR="003A104A" w:rsidRDefault="00D26C63">
      <w:pPr>
        <w:ind w:firstLineChars="200" w:firstLine="482"/>
        <w:jc w:val="left"/>
        <w:rPr>
          <w:rFonts w:ascii="仿宋" w:eastAsia="仿宋" w:hAnsi="仿宋" w:cs="Times New Roman"/>
          <w:b/>
          <w:sz w:val="24"/>
          <w:szCs w:val="24"/>
        </w:rPr>
      </w:pPr>
      <w:r>
        <w:rPr>
          <w:rFonts w:ascii="仿宋" w:eastAsia="仿宋" w:hAnsi="仿宋" w:cs="Times New Roman" w:hint="eastAsia"/>
          <w:b/>
          <w:sz w:val="24"/>
          <w:szCs w:val="24"/>
        </w:rPr>
        <w:t>4.2售后服务</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4.2.</w:t>
      </w:r>
      <w:r>
        <w:rPr>
          <w:rFonts w:ascii="仿宋" w:eastAsia="仿宋" w:hAnsi="仿宋" w:cs="Times New Roman"/>
          <w:sz w:val="24"/>
          <w:szCs w:val="24"/>
        </w:rPr>
        <w:t>1</w:t>
      </w:r>
      <w:r>
        <w:rPr>
          <w:rFonts w:ascii="仿宋" w:eastAsia="仿宋" w:hAnsi="仿宋" w:cs="Times New Roman" w:hint="eastAsia"/>
          <w:sz w:val="24"/>
          <w:szCs w:val="24"/>
        </w:rPr>
        <w:t>乙方产品的保修规定及服务政策应与甲方相应的规定、政策保持一致，乙方</w:t>
      </w:r>
      <w:proofErr w:type="gramStart"/>
      <w:r>
        <w:rPr>
          <w:rFonts w:ascii="仿宋" w:eastAsia="仿宋" w:hAnsi="仿宋" w:cs="Times New Roman" w:hint="eastAsia"/>
          <w:sz w:val="24"/>
          <w:szCs w:val="24"/>
        </w:rPr>
        <w:t>应承担由其</w:t>
      </w:r>
      <w:proofErr w:type="gramEnd"/>
      <w:r>
        <w:rPr>
          <w:rFonts w:ascii="仿宋" w:eastAsia="仿宋" w:hAnsi="仿宋" w:cs="Times New Roman" w:hint="eastAsia"/>
          <w:sz w:val="24"/>
          <w:szCs w:val="24"/>
        </w:rPr>
        <w:t>产品质量原因而产生的费用及损失。甲方因需要提出延长质保期的产品，双方协商确认一致后执行，并由乙方承担相应的费用。</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4.2.</w:t>
      </w:r>
      <w:r>
        <w:rPr>
          <w:rFonts w:ascii="仿宋" w:eastAsia="仿宋" w:hAnsi="仿宋" w:cs="Times New Roman"/>
          <w:sz w:val="24"/>
          <w:szCs w:val="24"/>
        </w:rPr>
        <w:t>2</w:t>
      </w:r>
      <w:r>
        <w:rPr>
          <w:rFonts w:ascii="仿宋" w:eastAsia="仿宋" w:hAnsi="仿宋" w:cs="Times New Roman" w:hint="eastAsia"/>
          <w:sz w:val="24"/>
          <w:szCs w:val="24"/>
        </w:rPr>
        <w:t>乙方全权委托甲方及甲方授权的维修服务站对其产品进行售后保修服务。乙方接受甲方及甲方授权的维修服务站在保修服务中对乙方产品所做出的质量责任判定。甲方应本着对双方负责的态度，定期对其销售服务人员、授权维修站的服务情况进行培训、监督、追责，以保证其行为公平、公正。</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乙方保证不与甲方及甲方关联企业的售后服务站（包括4S店）签署相关的售后服务协议或其它类同的协议。乙方保证绝不向上述售后服务站（包括4S店）直接或间接提供保修更换件和/或进行任何服务费结算，确保所有的售后服务结算一律通过甲方进行。</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4.2.</w:t>
      </w:r>
      <w:r>
        <w:rPr>
          <w:rFonts w:ascii="仿宋" w:eastAsia="仿宋" w:hAnsi="仿宋" w:cs="Times New Roman"/>
          <w:sz w:val="24"/>
          <w:szCs w:val="24"/>
        </w:rPr>
        <w:t>3</w:t>
      </w:r>
      <w:r>
        <w:rPr>
          <w:rFonts w:ascii="仿宋" w:eastAsia="仿宋" w:hAnsi="仿宋" w:cs="Times New Roman" w:hint="eastAsia"/>
          <w:sz w:val="24"/>
          <w:szCs w:val="24"/>
        </w:rPr>
        <w:t>与甲方签订自行服务协议的乙方（如发动机、变速箱、新能源车辆三电系统等），应与甲方并网服务并对服务网络进行必要的配件投放和业务培训，负责提供甲方规定要求的相关服务。同时需按照甲方要求，定期向甲方提供市场故障信息，涉及批量改制的，乙方有义务向甲方通报改制内容及进度。如因乙方服务不到位造成甲方客户不满意，乙方应按照甲方向客户承诺的条款进行赔付损失，甲方有权安排甲方授权的维修服务站进行服务，所产生费用由乙方承担。</w:t>
      </w:r>
      <w:bookmarkStart w:id="6" w:name="_Hlk124323539"/>
      <w:r>
        <w:rPr>
          <w:rFonts w:ascii="仿宋" w:eastAsia="仿宋" w:hAnsi="仿宋" w:cs="Times New Roman" w:hint="eastAsia"/>
          <w:sz w:val="24"/>
          <w:szCs w:val="24"/>
        </w:rPr>
        <w:t>与甲方签订自行服务协议的乙方需另行签订《售后服务协议》。甲方因需要提出延长质保期的产品，双方协商确认一致后执行，并由乙方承担相应的费用。</w:t>
      </w:r>
    </w:p>
    <w:bookmarkEnd w:id="6"/>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4.2.4在甲方开发新市场及进行新产品推广时，乙方有义务配合甲方共同做好推广活动，如赠送配件、免费保养及培训等。甲方因市场需要做出的让步性处理行为，乙方应共同承担让步费用。</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4.2.5乙方应积极配合甲方售后服务工作，按甲方要求提供培训、作业指导书、专用维修工具等相关支持。如《产品使用说明书》、《零部件图册》、《零部件三维数模》、《易损件清单》、《产品维修手册》、《产品的代码标识》、《售后服务人员通讯录》等，并提供上述资料的电子版文档。</w:t>
      </w:r>
    </w:p>
    <w:p w:rsidR="003A104A" w:rsidRDefault="00D26C63">
      <w:pPr>
        <w:ind w:firstLineChars="200" w:firstLine="480"/>
        <w:jc w:val="left"/>
        <w:rPr>
          <w:rFonts w:ascii="仿宋" w:hAnsi="仿宋"/>
          <w:sz w:val="24"/>
        </w:rPr>
      </w:pPr>
      <w:r>
        <w:rPr>
          <w:rFonts w:ascii="仿宋" w:eastAsia="仿宋" w:hAnsi="仿宋" w:cs="Times New Roman" w:hint="eastAsia"/>
          <w:sz w:val="24"/>
          <w:szCs w:val="24"/>
        </w:rPr>
        <w:lastRenderedPageBreak/>
        <w:t>4.2.6在客户使用过程中，因产品质量问题需乙方支持的，乙方应给予技术指导，如需到现场服务或鉴定时，乙方应在接到甲方通知后于48小时（省内24小时）内派员到达现场配合甲方服务，并在完成服务后24小时内向甲方出具现场故障鉴定报告。 针对国际市场问题，乙方应在24小时内出具问题处置方案。</w:t>
      </w:r>
    </w:p>
    <w:p w:rsidR="003A104A" w:rsidRDefault="00D26C63">
      <w:pPr>
        <w:ind w:firstLineChars="200" w:firstLine="480"/>
        <w:jc w:val="left"/>
        <w:rPr>
          <w:rFonts w:ascii="仿宋" w:eastAsia="仿宋" w:hAnsi="仿宋" w:cs="Times New Roman"/>
          <w:strike/>
          <w:sz w:val="24"/>
          <w:szCs w:val="24"/>
        </w:rPr>
      </w:pPr>
      <w:r>
        <w:rPr>
          <w:rFonts w:ascii="仿宋" w:eastAsia="仿宋" w:hAnsi="仿宋" w:cs="Times New Roman"/>
          <w:sz w:val="24"/>
          <w:szCs w:val="24"/>
        </w:rPr>
        <w:t>4.2.</w:t>
      </w:r>
      <w:r>
        <w:rPr>
          <w:rFonts w:ascii="仿宋" w:eastAsia="仿宋" w:hAnsi="仿宋" w:cs="Times New Roman" w:hint="eastAsia"/>
          <w:sz w:val="24"/>
          <w:szCs w:val="24"/>
        </w:rPr>
        <w:t>7针对进行错、误判鉴定的零部件，乙方有义务向甲方提供相关维修指导资料（含检测方法与判定标准），并提供维修检测设备。</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w:t>
      </w:r>
      <w:r>
        <w:rPr>
          <w:rFonts w:ascii="仿宋" w:eastAsia="仿宋" w:hAnsi="仿宋" w:cs="Times New Roman"/>
          <w:sz w:val="24"/>
          <w:szCs w:val="24"/>
        </w:rPr>
        <w:t>2.</w:t>
      </w:r>
      <w:r>
        <w:rPr>
          <w:rFonts w:ascii="仿宋" w:eastAsia="仿宋" w:hAnsi="仿宋" w:cs="Times New Roman" w:hint="eastAsia"/>
          <w:sz w:val="24"/>
          <w:szCs w:val="24"/>
        </w:rPr>
        <w:t>8乙方与其他客户合作过程中，因乙方质量问题导致对方或乙方产品召回、客户退货或者产生重大人员伤亡、财产损失事故的，当涉及甲方同类别协议产品时，乙方应在知悉或应当知悉质量问题时起24小时内主动告知甲方并提出应对方案，主动排查风险、减少损失，否则，甲方有权就因乙方未及时告知、妥善处理等造成的扩大损失向乙方追偿。</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4.2.9为减少索赔和降低客户的维修成本，乙方应按甲方技术部门要求，对相关产品拆分出中间件，并提供其编号、价格、体积、重量、图片等相关信息，同时保证中间件的供应，以满足售后服务的需要。</w:t>
      </w:r>
    </w:p>
    <w:p w:rsidR="003A104A" w:rsidRDefault="00D26C63">
      <w:pPr>
        <w:pStyle w:val="af4"/>
        <w:ind w:firstLineChars="200" w:firstLine="482"/>
        <w:rPr>
          <w:rFonts w:ascii="仿宋" w:eastAsia="仿宋" w:hAnsi="仿宋" w:cs="Times New Roman"/>
          <w:b/>
          <w:kern w:val="2"/>
          <w:sz w:val="24"/>
          <w:szCs w:val="24"/>
        </w:rPr>
      </w:pPr>
      <w:r>
        <w:rPr>
          <w:rFonts w:ascii="仿宋" w:eastAsia="仿宋" w:hAnsi="仿宋" w:cs="Times New Roman" w:hint="eastAsia"/>
          <w:b/>
          <w:kern w:val="2"/>
          <w:sz w:val="24"/>
          <w:szCs w:val="24"/>
        </w:rPr>
        <w:t>4.3旧件管理</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4.3.1乙方应按甲方要求在指定地点、规定时间内回收售后旧件或故障件，收到甲方通知（包括但不限于电话、邮件、e采通系统等方式）后15个工作日内若未回收则视为乙方自动放弃，</w:t>
      </w:r>
      <w:r>
        <w:rPr>
          <w:rFonts w:ascii="仿宋" w:eastAsia="仿宋" w:hAnsi="仿宋" w:hint="eastAsia"/>
          <w:sz w:val="24"/>
          <w:szCs w:val="24"/>
        </w:rPr>
        <w:t>由甲方自行按废旧物资处置。双方约定在下列情况下甲方可不返回售后旧件或故障件：</w:t>
      </w:r>
      <w:r>
        <w:rPr>
          <w:rFonts w:ascii="仿宋" w:eastAsia="仿宋" w:hAnsi="仿宋" w:cs="Times New Roman"/>
          <w:kern w:val="2"/>
          <w:sz w:val="24"/>
          <w:szCs w:val="24"/>
        </w:rPr>
        <w:t xml:space="preserve"> </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①已出口产品（由甲方服务站更换的售后旧件，在车辆维修后暂存甲方服务站，乙方需要确认旧件是否回收的，可在更换后90天内申请将旧件回运至甲方大区部代表处后进行确认）；</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②用户强行扣留故障件的；</w:t>
      </w:r>
      <w:r>
        <w:rPr>
          <w:rFonts w:ascii="仿宋" w:eastAsia="仿宋" w:hAnsi="仿宋" w:cs="Times New Roman"/>
          <w:kern w:val="2"/>
          <w:sz w:val="24"/>
          <w:szCs w:val="24"/>
        </w:rPr>
        <w:t xml:space="preserve"> </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③垫片、弹簧等易损件；</w:t>
      </w:r>
      <w:r>
        <w:rPr>
          <w:rFonts w:ascii="仿宋" w:eastAsia="仿宋" w:hAnsi="仿宋" w:cs="Times New Roman"/>
          <w:kern w:val="2"/>
          <w:sz w:val="24"/>
          <w:szCs w:val="24"/>
        </w:rPr>
        <w:t xml:space="preserve"> </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④涉及法律法规可追溯性要求的；</w:t>
      </w:r>
      <w:r>
        <w:rPr>
          <w:rFonts w:ascii="仿宋" w:eastAsia="仿宋" w:hAnsi="仿宋" w:cs="Times New Roman"/>
          <w:kern w:val="2"/>
          <w:sz w:val="24"/>
          <w:szCs w:val="24"/>
        </w:rPr>
        <w:t xml:space="preserve"> </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⑤甲方留作分析或验证的；</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⑥甲方判定配件回运属性为“需销毁”的旧件；</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⑦其他任何非甲方原因导致无法返回的。</w:t>
      </w:r>
    </w:p>
    <w:p w:rsidR="003A104A" w:rsidRDefault="00D26C63">
      <w:pPr>
        <w:pStyle w:val="af4"/>
        <w:ind w:firstLineChars="200" w:firstLine="480"/>
        <w:rPr>
          <w:rFonts w:ascii="仿宋" w:eastAsia="仿宋" w:hAnsi="仿宋" w:cs="Times New Roman"/>
          <w:kern w:val="2"/>
          <w:sz w:val="24"/>
          <w:szCs w:val="24"/>
        </w:rPr>
      </w:pPr>
      <w:r>
        <w:rPr>
          <w:rFonts w:ascii="仿宋" w:eastAsia="仿宋" w:hAnsi="仿宋" w:cs="Times New Roman" w:hint="eastAsia"/>
          <w:kern w:val="2"/>
          <w:sz w:val="24"/>
          <w:szCs w:val="24"/>
        </w:rPr>
        <w:t>4.3.2乙方应向甲方书面通报旧件处理的管理制度及其相应处理措施。乙方承诺并保证，任何情况下绝不将售后返回旧件再次流入社会。</w:t>
      </w:r>
    </w:p>
    <w:p w:rsidR="003A104A" w:rsidRDefault="00D26C63">
      <w:pPr>
        <w:snapToGrid w:val="0"/>
        <w:ind w:firstLineChars="200" w:firstLine="482"/>
        <w:rPr>
          <w:rFonts w:ascii="仿宋" w:eastAsia="仿宋" w:hAnsi="仿宋"/>
          <w:b/>
          <w:sz w:val="24"/>
          <w:szCs w:val="24"/>
        </w:rPr>
      </w:pPr>
      <w:r>
        <w:rPr>
          <w:rFonts w:ascii="仿宋" w:eastAsia="仿宋" w:hAnsi="仿宋" w:hint="eastAsia"/>
          <w:b/>
          <w:sz w:val="24"/>
          <w:szCs w:val="24"/>
        </w:rPr>
        <w:t>5．不合格品的处理方式</w:t>
      </w:r>
    </w:p>
    <w:p w:rsidR="003A104A" w:rsidRDefault="00D26C63">
      <w:pPr>
        <w:snapToGrid w:val="0"/>
        <w:ind w:firstLineChars="200" w:firstLine="480"/>
        <w:rPr>
          <w:rFonts w:ascii="仿宋" w:eastAsia="仿宋" w:hAnsi="仿宋"/>
          <w:sz w:val="24"/>
          <w:szCs w:val="24"/>
        </w:rPr>
      </w:pPr>
      <w:r>
        <w:rPr>
          <w:rFonts w:ascii="仿宋" w:eastAsia="仿宋" w:hAnsi="仿宋" w:hint="eastAsia"/>
          <w:sz w:val="24"/>
          <w:szCs w:val="24"/>
        </w:rPr>
        <w:t>5.1因乙方不合格品造成的质量问题，甲方按照本协议第6条的规定进行处理。乙方不得将退库处理的不合格品以次充好再次销售给甲方，如有违反，乙方应按照第6条的相关规定向甲方支付违约金。</w:t>
      </w:r>
    </w:p>
    <w:p w:rsidR="003A104A" w:rsidRDefault="00D26C63">
      <w:pPr>
        <w:snapToGrid w:val="0"/>
        <w:ind w:firstLineChars="200" w:firstLine="480"/>
        <w:rPr>
          <w:rFonts w:ascii="仿宋" w:eastAsia="仿宋" w:hAnsi="仿宋"/>
          <w:sz w:val="24"/>
          <w:szCs w:val="24"/>
        </w:rPr>
      </w:pPr>
      <w:r>
        <w:rPr>
          <w:rFonts w:ascii="仿宋" w:eastAsia="仿宋" w:hAnsi="仿宋" w:hint="eastAsia"/>
          <w:sz w:val="24"/>
          <w:szCs w:val="24"/>
        </w:rPr>
        <w:t>5.2乙方不得擅自向任何第三</w:t>
      </w:r>
      <w:proofErr w:type="gramStart"/>
      <w:r>
        <w:rPr>
          <w:rFonts w:ascii="仿宋" w:eastAsia="仿宋" w:hAnsi="仿宋" w:hint="eastAsia"/>
          <w:sz w:val="24"/>
          <w:szCs w:val="24"/>
        </w:rPr>
        <w:t>方销售</w:t>
      </w:r>
      <w:proofErr w:type="gramEnd"/>
      <w:r>
        <w:rPr>
          <w:rFonts w:ascii="仿宋" w:eastAsia="仿宋" w:hAnsi="仿宋" w:hint="eastAsia"/>
          <w:sz w:val="24"/>
          <w:szCs w:val="24"/>
        </w:rPr>
        <w:t>不合格品，如有违反按照双方签署的《采购协议》相关条款执行。</w:t>
      </w:r>
    </w:p>
    <w:p w:rsidR="003A104A" w:rsidRDefault="00D26C63">
      <w:pPr>
        <w:snapToGrid w:val="0"/>
        <w:ind w:firstLineChars="200" w:firstLine="480"/>
        <w:rPr>
          <w:rFonts w:ascii="仿宋" w:eastAsia="仿宋" w:hAnsi="仿宋"/>
          <w:sz w:val="24"/>
          <w:szCs w:val="24"/>
        </w:rPr>
      </w:pPr>
      <w:r>
        <w:rPr>
          <w:rFonts w:ascii="仿宋" w:eastAsia="仿宋" w:hAnsi="仿宋" w:hint="eastAsia"/>
          <w:sz w:val="24"/>
          <w:szCs w:val="24"/>
        </w:rPr>
        <w:t>5.3甲方有权对乙方不合格品发至重汽（济南）后市场智慧服务有限公司（以下称后市场公司）或对产品进行封存、隔离、报废、销毁或作永久性标识。</w:t>
      </w:r>
    </w:p>
    <w:p w:rsidR="003A104A" w:rsidRDefault="00D26C63">
      <w:pPr>
        <w:snapToGrid w:val="0"/>
        <w:ind w:firstLineChars="200" w:firstLine="480"/>
        <w:rPr>
          <w:rFonts w:ascii="仿宋" w:eastAsia="仿宋" w:hAnsi="仿宋"/>
          <w:sz w:val="24"/>
          <w:szCs w:val="24"/>
        </w:rPr>
      </w:pPr>
      <w:r>
        <w:rPr>
          <w:rFonts w:ascii="仿宋" w:eastAsia="仿宋" w:hAnsi="仿宋" w:hint="eastAsia"/>
          <w:sz w:val="24"/>
          <w:szCs w:val="24"/>
        </w:rPr>
        <w:t>5.4甲方确定发至后市场公司的不合格品，乙方同意按照不合格类别确定产品的降价原则打折处理，其中Ⅰ类磕碰、清洁度类不合格零部件降价10%，Ⅱ类尺寸类不合格零部件降价15%。</w:t>
      </w:r>
    </w:p>
    <w:p w:rsidR="003A104A" w:rsidRDefault="00D26C63">
      <w:pPr>
        <w:tabs>
          <w:tab w:val="left" w:pos="0"/>
        </w:tabs>
        <w:ind w:firstLineChars="200" w:firstLine="482"/>
        <w:rPr>
          <w:rFonts w:ascii="仿宋" w:eastAsia="仿宋" w:hAnsi="仿宋"/>
          <w:b/>
          <w:bCs/>
          <w:sz w:val="24"/>
          <w:szCs w:val="24"/>
        </w:rPr>
      </w:pPr>
      <w:r>
        <w:rPr>
          <w:rFonts w:ascii="仿宋" w:eastAsia="仿宋" w:hAnsi="仿宋" w:hint="eastAsia"/>
          <w:b/>
          <w:bCs/>
          <w:sz w:val="24"/>
          <w:szCs w:val="24"/>
        </w:rPr>
        <w:t>6</w:t>
      </w:r>
      <w:r>
        <w:rPr>
          <w:rFonts w:ascii="仿宋" w:eastAsia="仿宋" w:hAnsi="仿宋" w:cs="Times New Roman" w:hint="eastAsia"/>
          <w:b/>
          <w:sz w:val="24"/>
          <w:szCs w:val="24"/>
        </w:rPr>
        <w:t>．</w:t>
      </w:r>
      <w:r>
        <w:rPr>
          <w:rFonts w:ascii="仿宋" w:eastAsia="仿宋" w:hAnsi="仿宋" w:hint="eastAsia"/>
          <w:b/>
          <w:bCs/>
          <w:sz w:val="24"/>
          <w:szCs w:val="24"/>
        </w:rPr>
        <w:t>质量问题处理及索赔管理</w:t>
      </w:r>
    </w:p>
    <w:p w:rsidR="003A104A" w:rsidRDefault="00D26C63">
      <w:pPr>
        <w:pStyle w:val="af4"/>
        <w:ind w:firstLineChars="200" w:firstLine="482"/>
        <w:rPr>
          <w:rFonts w:ascii="仿宋" w:eastAsia="仿宋" w:hAnsi="仿宋" w:cs="Times New Roman"/>
          <w:b/>
          <w:sz w:val="24"/>
          <w:szCs w:val="24"/>
        </w:rPr>
      </w:pPr>
      <w:r>
        <w:rPr>
          <w:rFonts w:ascii="仿宋" w:eastAsia="仿宋" w:hAnsi="仿宋" w:cs="Times New Roman" w:hint="eastAsia"/>
          <w:b/>
          <w:sz w:val="24"/>
          <w:szCs w:val="24"/>
        </w:rPr>
        <w:t>6.1质量问题处理</w:t>
      </w:r>
    </w:p>
    <w:p w:rsidR="003A104A" w:rsidRDefault="00D26C63">
      <w:pPr>
        <w:pStyle w:val="af4"/>
        <w:ind w:firstLineChars="200" w:firstLine="480"/>
        <w:rPr>
          <w:rFonts w:ascii="仿宋" w:hAnsi="仿宋"/>
          <w:sz w:val="24"/>
          <w:highlight w:val="yellow"/>
        </w:rPr>
      </w:pPr>
      <w:r>
        <w:rPr>
          <w:rFonts w:ascii="仿宋" w:eastAsia="仿宋" w:hAnsi="仿宋" w:hint="eastAsia"/>
          <w:sz w:val="24"/>
          <w:szCs w:val="24"/>
        </w:rPr>
        <w:t>乙方提供的产品在甲方进厂检验、零公里过程、售后市场过程中发生质量问题以及乙方在与甲方的业务往来各个环节存在不良行为的，乙方承担由此对甲方造成的经济损失，甲方有权依据《配套产品质量管理办法》要求，采取追责、冻结、停用、实施“负面供应商挂牌”、纳入“黑名单”、取消合格供方资格等处置措施。乙方同意，本协议是就质量、服务等达成的具有约束力的协议，受甲方《配套产品质量管理办法》（“质量管理办法”）的约束，质量管理</w:t>
      </w:r>
      <w:r>
        <w:rPr>
          <w:rFonts w:ascii="仿宋" w:eastAsia="仿宋" w:hAnsi="仿宋" w:hint="eastAsia"/>
          <w:sz w:val="24"/>
          <w:szCs w:val="24"/>
        </w:rPr>
        <w:lastRenderedPageBreak/>
        <w:t>办法中上述处置措施发布于“重汽e采通”系统，网址:https://ecaitong.sinotruk.com:8012/#/</w:t>
      </w:r>
      <w:proofErr w:type="spellStart"/>
      <w:r>
        <w:rPr>
          <w:rFonts w:ascii="仿宋" w:eastAsia="仿宋" w:hAnsi="仿宋" w:hint="eastAsia"/>
          <w:sz w:val="24"/>
          <w:szCs w:val="24"/>
        </w:rPr>
        <w:t>homePage</w:t>
      </w:r>
      <w:proofErr w:type="spellEnd"/>
      <w:r>
        <w:rPr>
          <w:rFonts w:ascii="仿宋" w:eastAsia="仿宋" w:hAnsi="仿宋" w:hint="eastAsia"/>
          <w:sz w:val="24"/>
          <w:szCs w:val="24"/>
        </w:rPr>
        <w:t xml:space="preserve"> )。乙方确认，在签署本协议之前，已获得审阅质量管理办法的机会并自愿遵守。</w:t>
      </w:r>
    </w:p>
    <w:p w:rsidR="003A104A" w:rsidRDefault="00D26C63">
      <w:pPr>
        <w:pStyle w:val="af4"/>
        <w:ind w:firstLineChars="200" w:firstLine="482"/>
        <w:rPr>
          <w:rFonts w:ascii="仿宋" w:eastAsia="仿宋" w:hAnsi="仿宋" w:cs="Times New Roman"/>
          <w:b/>
          <w:sz w:val="24"/>
          <w:szCs w:val="24"/>
        </w:rPr>
      </w:pPr>
      <w:r>
        <w:rPr>
          <w:rFonts w:ascii="仿宋" w:eastAsia="仿宋" w:hAnsi="仿宋" w:cs="Times New Roman" w:hint="eastAsia"/>
          <w:b/>
          <w:sz w:val="24"/>
          <w:szCs w:val="24"/>
        </w:rPr>
        <w:t>6.2索赔程序</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6.2.1甲方依据乙方原因所造成的影响及后果，按照本协议的约定，确定违约金及/或索赔金额并通过甲方信息化系统、邮件等形式通知乙方后，甲方有权从应付货款中直接扣除,应付货款不足时在质量保证金中扣除。乙方应及时对索赔信息进行确认，乙方如有异议，可在接到通知5个工作日（售后索赔每月6日前）内向甲方提出书面申诉，甲方有责任对乙方的申诉进行确认及回复，对于非乙方责任造成的索赔，甲方将无息退还乙方的索赔费用，超过5个工作日（售后索赔每月6日前）乙方未确认或未提出申诉的，视为同意索赔及违约金</w:t>
      </w:r>
      <w:bookmarkStart w:id="7" w:name="_Hlk124335919"/>
      <w:r>
        <w:rPr>
          <w:rFonts w:ascii="仿宋" w:eastAsia="仿宋" w:hAnsi="仿宋" w:cs="Times New Roman" w:hint="eastAsia"/>
          <w:sz w:val="24"/>
          <w:szCs w:val="24"/>
        </w:rPr>
        <w:t>。</w:t>
      </w:r>
    </w:p>
    <w:bookmarkEnd w:id="7"/>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6.2.2乙方发现甲方人员或甲方授权的服务站对质量责任判定弄虚作假的，有义务向甲方投诉，经甲方查证属实的，将无息退还误判乙方的索赔费用。</w:t>
      </w:r>
    </w:p>
    <w:p w:rsidR="003A104A" w:rsidRDefault="00D26C63">
      <w:pPr>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6.2.3质量保证金</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1）质量保证金用于乙方所供产品发生质量问题的索赔保证金，以确保乙方所供产品的售后追偿索赔可正常进行。质量保证金从应付货款中计提，质量保证金不作为每月向乙方付款的基数。质量保证金每年度计算收取，当年度执行完毕后，可转入下一年度作为质量保证金。</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2）对于采购产品合格供方，质量保证金计算方式为：年度质量保证金额度=乙方上一年度入账发票（含税）采购额×5%×风险系数，最低1万元，最高200万元。年度质量索赔费用与年度供货额的比率，为质量索赔比率（A）；根据不同的质量索赔比率设定不同的风险系数：A≤2%，风险系数=1； 2%&lt; A≤5%，风险系数=1.2；5%&lt; A≤10%，风险系数=1.5； A&gt;10%，风险系数=2。</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对于新准入的供方，按照当年度已挂账发票（含税）逐票预留5%（最高200万元），均自甲方应付账款中扣除。</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对于采购产品合格供方，在采购执行过程中，当本年度累计采购额大于上一年度采购额时，需及时更新年度质</w:t>
      </w:r>
      <w:proofErr w:type="gramStart"/>
      <w:r>
        <w:rPr>
          <w:rFonts w:ascii="仿宋" w:eastAsia="仿宋" w:hAnsi="仿宋" w:cs="Times New Roman" w:hint="eastAsia"/>
          <w:sz w:val="24"/>
          <w:szCs w:val="24"/>
        </w:rPr>
        <w:t>保金额度</w:t>
      </w:r>
      <w:proofErr w:type="gramEnd"/>
      <w:r>
        <w:rPr>
          <w:rFonts w:ascii="仿宋" w:eastAsia="仿宋" w:hAnsi="仿宋" w:cs="Times New Roman" w:hint="eastAsia"/>
          <w:sz w:val="24"/>
          <w:szCs w:val="24"/>
        </w:rPr>
        <w:t>，乙方同意甲方按照本年度累计已挂账发票（含税）大于上一年度入账发票（含税）采购额的部分逐票预留5%。</w:t>
      </w:r>
    </w:p>
    <w:p w:rsidR="003A104A" w:rsidRDefault="00D26C63">
      <w:pPr>
        <w:pStyle w:val="af4"/>
        <w:ind w:firstLineChars="200" w:firstLine="480"/>
        <w:rPr>
          <w:rFonts w:ascii="仿宋" w:eastAsia="仿宋" w:hAnsi="仿宋" w:cs="Times New Roman"/>
          <w:sz w:val="24"/>
          <w:szCs w:val="24"/>
          <w:highlight w:val="green"/>
        </w:rPr>
      </w:pPr>
      <w:r>
        <w:rPr>
          <w:rFonts w:ascii="仿宋" w:eastAsia="仿宋" w:hAnsi="仿宋" w:cs="Times New Roman" w:hint="eastAsia"/>
          <w:sz w:val="24"/>
          <w:szCs w:val="24"/>
        </w:rPr>
        <w:t>当乙方的质量保证金和货款不足以承担乙方需支付的违约金或赔偿款时，乙方应在收到甲方索赔通知之日起3个工作日内向甲方支付违约金或赔偿款，乙方未按时支付的，甲方可在甲方所属集团范围内统筹扣划货款用于支付违约金或赔偿款，乙方对此无异议。</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（3）甲方按照约定扣除质量保证金后，有权自动在应付乙方账款中扣除相应金额补足质量保证金，如应付账款无法补足的，乙方以现款补足。</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4）年度质量保证金额度确定后，每半年对乙方进行风险评估，风险系数发生变化时，甲方应按照计算规则对质量保证金额度进行调整。当乙方出现停供风险时，甲方有权根据实际情况重新确定质量保证金额度，甲方有权自应付账款中扣除质量保证金差额部分，如应付账款无法补足的，乙方同意以现款补足质量保证金。</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5）乙方停止供货时，在乙方最后一批产品装车（机）2年后或该批次整车保修期满（以后到期者为准），经甲方确认无需要赔付的售后追偿额度，甲方将无息返还剩余质量保证金。如有相关问题，待问题确认后，由甲方在质量保证金中扣除乙方应付的款项后无息返还剩余部分，额度不足时，乙方同意以现款补充差额部分。</w:t>
      </w:r>
    </w:p>
    <w:p w:rsidR="003A104A" w:rsidRDefault="00D26C63">
      <w:pPr>
        <w:pStyle w:val="af4"/>
        <w:ind w:firstLineChars="200" w:firstLine="480"/>
        <w:rPr>
          <w:rFonts w:ascii="仿宋" w:eastAsia="仿宋" w:hAnsi="仿宋" w:cs="Times New Roman"/>
          <w:sz w:val="24"/>
          <w:szCs w:val="24"/>
        </w:rPr>
      </w:pPr>
      <w:r>
        <w:rPr>
          <w:rFonts w:ascii="仿宋" w:eastAsia="仿宋" w:hAnsi="仿宋" w:cs="Times New Roman" w:hint="eastAsia"/>
          <w:sz w:val="24"/>
          <w:szCs w:val="24"/>
        </w:rPr>
        <w:t>（6）如乙方向甲方所属集团公司内多家制造单位供货，质量保证金额度分别计算、收取。如乙方出现停供风险，甲方可在甲方所属集团范围内统筹扣划质量保证金，乙方对此无异议。</w:t>
      </w:r>
    </w:p>
    <w:p w:rsidR="003A104A" w:rsidRDefault="00D26C63">
      <w:pPr>
        <w:pStyle w:val="af4"/>
        <w:ind w:firstLineChars="200" w:firstLine="482"/>
        <w:rPr>
          <w:rFonts w:ascii="仿宋" w:eastAsia="仿宋" w:hAnsi="仿宋"/>
          <w:b/>
          <w:sz w:val="24"/>
          <w:szCs w:val="24"/>
        </w:rPr>
      </w:pPr>
      <w:r>
        <w:rPr>
          <w:rFonts w:ascii="仿宋" w:eastAsia="仿宋" w:hAnsi="仿宋" w:hint="eastAsia"/>
          <w:b/>
          <w:sz w:val="24"/>
          <w:szCs w:val="24"/>
        </w:rPr>
        <w:t>7</w:t>
      </w:r>
      <w:r>
        <w:rPr>
          <w:rFonts w:ascii="仿宋" w:eastAsia="仿宋" w:hAnsi="仿宋" w:cs="Times New Roman" w:hint="eastAsia"/>
          <w:b/>
          <w:sz w:val="24"/>
          <w:szCs w:val="24"/>
        </w:rPr>
        <w:t>．</w:t>
      </w:r>
      <w:r>
        <w:rPr>
          <w:rFonts w:ascii="仿宋" w:eastAsia="仿宋" w:hAnsi="仿宋" w:hint="eastAsia"/>
          <w:b/>
          <w:sz w:val="24"/>
          <w:szCs w:val="24"/>
        </w:rPr>
        <w:t>法律适用与争议解决</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lastRenderedPageBreak/>
        <w:t>本协议受中华人民共和国法律的管辖。由本协议产生或与本协议有关的所有争议，若无法在争议发生后30日内通过双方友好协商解决，则本协议任何一方有权将争议提交至甲方住所地有管辖权的人民法院诉讼解决。</w:t>
      </w:r>
    </w:p>
    <w:p w:rsidR="003A104A" w:rsidRDefault="00D26C63">
      <w:pPr>
        <w:pStyle w:val="af4"/>
        <w:ind w:firstLineChars="200" w:firstLine="482"/>
        <w:rPr>
          <w:rFonts w:ascii="仿宋" w:eastAsia="仿宋" w:hAnsi="仿宋"/>
          <w:b/>
          <w:sz w:val="24"/>
          <w:szCs w:val="24"/>
        </w:rPr>
      </w:pPr>
      <w:r>
        <w:rPr>
          <w:rFonts w:ascii="仿宋" w:eastAsia="仿宋" w:hAnsi="仿宋" w:cs="Times New Roman" w:hint="eastAsia"/>
          <w:b/>
          <w:sz w:val="24"/>
          <w:szCs w:val="24"/>
        </w:rPr>
        <w:t>8．</w:t>
      </w:r>
      <w:r>
        <w:rPr>
          <w:rFonts w:ascii="仿宋" w:eastAsia="仿宋" w:hAnsi="仿宋" w:hint="eastAsia"/>
          <w:b/>
          <w:sz w:val="24"/>
          <w:szCs w:val="24"/>
        </w:rPr>
        <w:t>其他规定</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8.1本协议书自双方代表签字并盖章后生效，协议自生效起至甲乙双方供货采购关系终止，长期有效。</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8.2 任何一方如</w:t>
      </w:r>
      <w:proofErr w:type="gramStart"/>
      <w:r>
        <w:rPr>
          <w:rFonts w:ascii="仿宋" w:eastAsia="仿宋" w:hAnsi="仿宋" w:hint="eastAsia"/>
          <w:sz w:val="24"/>
          <w:szCs w:val="24"/>
        </w:rPr>
        <w:t>欲修改</w:t>
      </w:r>
      <w:proofErr w:type="gramEnd"/>
      <w:r>
        <w:rPr>
          <w:rFonts w:ascii="仿宋" w:eastAsia="仿宋" w:hAnsi="仿宋" w:hint="eastAsia"/>
          <w:sz w:val="24"/>
          <w:szCs w:val="24"/>
        </w:rPr>
        <w:t>本协议，需在协议到期前一个月书面通知另一方。</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8.3本协议签署生效后，双方前期已签订《采购产品质量保证与服务协议》或类同协议的，权利义务适用原协议，</w:t>
      </w:r>
      <w:r>
        <w:rPr>
          <w:rFonts w:ascii="仿宋" w:eastAsia="仿宋" w:hAnsi="仿宋"/>
          <w:sz w:val="24"/>
          <w:szCs w:val="24"/>
        </w:rPr>
        <w:t>其中生效条款与本协议相冲突的，以本协议约定为准；</w:t>
      </w:r>
      <w:r>
        <w:rPr>
          <w:rFonts w:ascii="仿宋" w:eastAsia="仿宋" w:hAnsi="仿宋" w:hint="eastAsia"/>
          <w:sz w:val="24"/>
          <w:szCs w:val="24"/>
        </w:rPr>
        <w:t>前期未签署《采购产品质量保证与服务协议》或类同协议但实际已存在供货采购关系的，甲乙双方同意有关业务合作适用本协议；甲乙双方供货采购关系存续期内，双方另行签订新《采购产品质量保证与服务协议》的，相关权利义务及认可同意的有关事项自新协议签订生效时执行。</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8.4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一方擅自增加、删改、篡改部分无效（个人手写签名除外）。</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若一方不使用电子签约，此情形</w:t>
      </w:r>
      <w:proofErr w:type="gramStart"/>
      <w:r>
        <w:rPr>
          <w:rFonts w:ascii="仿宋" w:eastAsia="仿宋" w:hAnsi="仿宋" w:hint="eastAsia"/>
          <w:sz w:val="24"/>
          <w:szCs w:val="24"/>
        </w:rPr>
        <w:t>下各方</w:t>
      </w:r>
      <w:proofErr w:type="gramEnd"/>
      <w:r>
        <w:rPr>
          <w:rFonts w:ascii="仿宋" w:eastAsia="仿宋" w:hAnsi="仿宋" w:hint="eastAsia"/>
          <w:sz w:val="24"/>
          <w:szCs w:val="24"/>
        </w:rPr>
        <w:t>认可并同意电子签章与在纸质合同上手写签名或者盖章具有同等的法律效力，一方在合同上使用电子签章，另一方将已完成电子签章的合同打印为纸质合同后，再于合同签署处加盖实物印章、手写签名视为各方已签署完毕。</w:t>
      </w: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8.5本协议一式两份，甲乙双方各执一份，具有同等法律效力。其他未尽事宜，双方协商解决，必要时双方达成一致意见并签署补充协议。</w:t>
      </w: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甲方:(盖章)                            乙方：(盖章)</w:t>
      </w: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D26C63">
      <w:pPr>
        <w:pStyle w:val="af4"/>
        <w:ind w:firstLineChars="200" w:firstLine="480"/>
        <w:rPr>
          <w:rFonts w:ascii="仿宋" w:eastAsia="仿宋" w:hAnsi="仿宋"/>
          <w:sz w:val="24"/>
          <w:szCs w:val="24"/>
        </w:rPr>
      </w:pPr>
      <w:r>
        <w:rPr>
          <w:rFonts w:ascii="仿宋" w:eastAsia="仿宋" w:hAnsi="仿宋" w:hint="eastAsia"/>
          <w:sz w:val="24"/>
          <w:szCs w:val="24"/>
        </w:rPr>
        <w:t>授权代表人签字：                       授权代表人签字：</w:t>
      </w: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3A104A">
      <w:pPr>
        <w:pStyle w:val="af4"/>
        <w:ind w:firstLineChars="200" w:firstLine="480"/>
        <w:rPr>
          <w:rFonts w:ascii="仿宋" w:eastAsia="仿宋" w:hAnsi="仿宋"/>
          <w:sz w:val="24"/>
          <w:szCs w:val="24"/>
        </w:rPr>
      </w:pPr>
    </w:p>
    <w:p w:rsidR="003A104A" w:rsidRDefault="00D26C63">
      <w:pPr>
        <w:pStyle w:val="af4"/>
        <w:ind w:firstLineChars="200" w:firstLine="480"/>
        <w:rPr>
          <w:rFonts w:ascii="仿宋" w:hAnsi="仿宋"/>
          <w:sz w:val="24"/>
        </w:rPr>
      </w:pPr>
      <w:r>
        <w:rPr>
          <w:rFonts w:ascii="仿宋" w:eastAsia="仿宋" w:hAnsi="仿宋" w:hint="eastAsia"/>
          <w:sz w:val="24"/>
          <w:szCs w:val="24"/>
        </w:rPr>
        <w:t xml:space="preserve">时间:                                  时间:    </w:t>
      </w:r>
      <w:bookmarkEnd w:id="2"/>
      <w:bookmarkEnd w:id="3"/>
      <w:bookmarkEnd w:id="4"/>
    </w:p>
    <w:sectPr w:rsidR="003A104A">
      <w:headerReference w:type="even" r:id="rId9"/>
      <w:headerReference w:type="default" r:id="rId10"/>
      <w:footerReference w:type="even" r:id="rId11"/>
      <w:footerReference w:type="default" r:id="rId12"/>
      <w:headerReference w:type="first" r:id="rId13"/>
      <w:footerReference w:type="first" r:id="rId14"/>
      <w:footnotePr>
        <w:numFmt w:val="decimalEnclosedCircleChinese"/>
      </w:footnotePr>
      <w:type w:val="continuous"/>
      <w:pgSz w:w="11906" w:h="16838"/>
      <w:pgMar w:top="1440" w:right="1080" w:bottom="1440" w:left="108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9B3" w:rsidRDefault="00F439B3">
      <w:r>
        <w:separator/>
      </w:r>
    </w:p>
  </w:endnote>
  <w:endnote w:type="continuationSeparator" w:id="0">
    <w:p w:rsidR="00F439B3" w:rsidRDefault="00F4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063" w:rsidRDefault="00DE30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4A" w:rsidRDefault="00D26C63">
    <w:pPr>
      <w:pStyle w:val="a8"/>
      <w:jc w:val="center"/>
    </w:pPr>
    <w:r>
      <w:fldChar w:fldCharType="begin"/>
    </w:r>
    <w:r>
      <w:instrText xml:space="preserve"> PAGE   \* MERGEFORMAT </w:instrText>
    </w:r>
    <w:r>
      <w:fldChar w:fldCharType="separate"/>
    </w:r>
    <w:r w:rsidR="00DE3063" w:rsidRPr="00DE3063">
      <w:rPr>
        <w:noProof/>
        <w:lang w:val="zh-CN"/>
      </w:rPr>
      <w:t>-</w:t>
    </w:r>
    <w:r w:rsidR="00DE3063">
      <w:rPr>
        <w:noProof/>
      </w:rPr>
      <w:t xml:space="preserve"> 7 -</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063" w:rsidRDefault="00DE30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9B3" w:rsidRDefault="00F439B3">
      <w:r>
        <w:separator/>
      </w:r>
    </w:p>
  </w:footnote>
  <w:footnote w:type="continuationSeparator" w:id="0">
    <w:p w:rsidR="00F439B3" w:rsidRDefault="00F43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063" w:rsidRDefault="00DE306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4A" w:rsidRDefault="00D26C63">
    <w:pPr>
      <w:pStyle w:val="a9"/>
    </w:pPr>
    <w:r>
      <w:rPr>
        <w:rFonts w:hint="eastAsia"/>
      </w:rPr>
      <w:t>202</w:t>
    </w:r>
    <w:r w:rsidR="00DE3063">
      <w:rPr>
        <w:rFonts w:hint="eastAsia"/>
      </w:rPr>
      <w:t>6</w:t>
    </w:r>
    <w:bookmarkStart w:id="8" w:name="_GoBack"/>
    <w:bookmarkEnd w:id="8"/>
    <w:r>
      <w:rPr>
        <w:rFonts w:hint="eastAsia"/>
      </w:rPr>
      <w:t>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063" w:rsidRDefault="00DE306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E081A"/>
    <w:multiLevelType w:val="multilevel"/>
    <w:tmpl w:val="115E081A"/>
    <w:lvl w:ilvl="0">
      <w:start w:val="1"/>
      <w:numFmt w:val="decimal"/>
      <w:lvlText w:val="%1"/>
      <w:lvlJc w:val="left"/>
      <w:pPr>
        <w:tabs>
          <w:tab w:val="left" w:pos="432"/>
        </w:tabs>
        <w:ind w:left="432" w:hanging="432"/>
      </w:pPr>
      <w:rPr>
        <w:rFonts w:hint="eastAsia"/>
        <w:b w:val="0"/>
        <w:i w:val="0"/>
        <w:caps w:val="0"/>
        <w:smallCaps w:val="0"/>
        <w:strike w:val="0"/>
        <w:dstrike w:val="0"/>
        <w:vanish w:val="0"/>
        <w:color w:val="000000"/>
        <w:spacing w:val="0"/>
        <w:w w:val="100"/>
        <w:kern w:val="21"/>
        <w:position w:val="0"/>
        <w:sz w:val="21"/>
        <w:u w:val="none"/>
        <w:vertAlign w:val="baseline"/>
      </w:rPr>
    </w:lvl>
    <w:lvl w:ilvl="1">
      <w:start w:val="1"/>
      <w:numFmt w:val="decimal"/>
      <w:lvlText w:val="%1.%2"/>
      <w:lvlJc w:val="left"/>
      <w:pPr>
        <w:tabs>
          <w:tab w:val="left" w:pos="681"/>
        </w:tabs>
        <w:ind w:left="681" w:hanging="576"/>
      </w:pPr>
      <w:rPr>
        <w:rFonts w:ascii="黑体" w:eastAsia="黑体" w:hint="eastAsia"/>
        <w:b w:val="0"/>
        <w:i w:val="0"/>
        <w:caps w:val="0"/>
        <w:smallCaps w:val="0"/>
        <w:strike w:val="0"/>
        <w:dstrike w:val="0"/>
        <w:vanish w:val="0"/>
        <w:color w:val="000000"/>
        <w:spacing w:val="0"/>
        <w:w w:val="100"/>
        <w:kern w:val="21"/>
        <w:position w:val="0"/>
        <w:sz w:val="21"/>
        <w:u w:val="none"/>
        <w:vertAlign w:val="baseline"/>
      </w:rPr>
    </w:lvl>
    <w:lvl w:ilvl="2">
      <w:start w:val="1"/>
      <w:numFmt w:val="decimal"/>
      <w:pStyle w:val="2"/>
      <w:lvlText w:val="%1.%2.%3"/>
      <w:lvlJc w:val="left"/>
      <w:pPr>
        <w:tabs>
          <w:tab w:val="left" w:pos="720"/>
        </w:tabs>
        <w:ind w:left="720" w:hanging="720"/>
      </w:pPr>
      <w:rPr>
        <w:rFonts w:ascii="黑体" w:eastAsia="黑体" w:hint="eastAsia"/>
        <w:b w:val="0"/>
        <w:i w:val="0"/>
        <w:caps w:val="0"/>
        <w:smallCaps w:val="0"/>
        <w:strike w:val="0"/>
        <w:dstrike w:val="0"/>
        <w:vanish w:val="0"/>
        <w:color w:val="000000"/>
        <w:spacing w:val="0"/>
        <w:w w:val="100"/>
        <w:kern w:val="21"/>
        <w:position w:val="0"/>
        <w:sz w:val="21"/>
        <w:u w:val="none"/>
        <w:vertAlign w:val="baseline"/>
      </w:rPr>
    </w:lvl>
    <w:lvl w:ilvl="3">
      <w:start w:val="1"/>
      <w:numFmt w:val="decimal"/>
      <w:lvlText w:val="%1.%2.%3.%4"/>
      <w:lvlJc w:val="left"/>
      <w:pPr>
        <w:tabs>
          <w:tab w:val="left" w:pos="969"/>
        </w:tabs>
        <w:ind w:left="969" w:hanging="864"/>
      </w:pPr>
      <w:rPr>
        <w:rFonts w:hint="eastAsia"/>
        <w:b w:val="0"/>
        <w:i w:val="0"/>
        <w:caps w:val="0"/>
        <w:smallCaps w:val="0"/>
        <w:strike w:val="0"/>
        <w:dstrike w:val="0"/>
        <w:vanish w:val="0"/>
        <w:color w:val="000000"/>
        <w:spacing w:val="0"/>
        <w:w w:val="100"/>
        <w:kern w:val="21"/>
        <w:position w:val="0"/>
        <w:sz w:val="21"/>
        <w:u w:val="none"/>
        <w:vertAlign w:val="baseline"/>
      </w:rPr>
    </w:lvl>
    <w:lvl w:ilvl="4">
      <w:start w:val="1"/>
      <w:numFmt w:val="decimal"/>
      <w:lvlText w:val="%1.%2.%3.%4.%5"/>
      <w:lvlJc w:val="left"/>
      <w:pPr>
        <w:tabs>
          <w:tab w:val="left" w:pos="1113"/>
        </w:tabs>
        <w:ind w:left="1113" w:hanging="1008"/>
      </w:pPr>
      <w:rPr>
        <w:rFonts w:hint="eastAsia"/>
        <w:b w:val="0"/>
        <w:i w:val="0"/>
        <w:caps w:val="0"/>
        <w:smallCaps w:val="0"/>
        <w:strike w:val="0"/>
        <w:dstrike w:val="0"/>
        <w:vanish w:val="0"/>
        <w:color w:val="000000"/>
        <w:spacing w:val="0"/>
        <w:w w:val="100"/>
        <w:kern w:val="21"/>
        <w:position w:val="0"/>
        <w:sz w:val="21"/>
        <w:u w:val="none"/>
        <w:vertAlign w:val="baseline"/>
      </w:rPr>
    </w:lvl>
    <w:lvl w:ilvl="5">
      <w:start w:val="1"/>
      <w:numFmt w:val="decimal"/>
      <w:lvlText w:val="%1.%2.%3.%4.%5.%6"/>
      <w:lvlJc w:val="left"/>
      <w:pPr>
        <w:tabs>
          <w:tab w:val="left" w:pos="1257"/>
        </w:tabs>
        <w:ind w:left="1257" w:hanging="1152"/>
      </w:pPr>
      <w:rPr>
        <w:rFonts w:hint="eastAsia"/>
        <w:b w:val="0"/>
        <w:i w:val="0"/>
        <w:caps w:val="0"/>
        <w:smallCaps w:val="0"/>
        <w:strike w:val="0"/>
        <w:dstrike w:val="0"/>
        <w:vanish w:val="0"/>
        <w:color w:val="000000"/>
        <w:spacing w:val="0"/>
        <w:w w:val="100"/>
        <w:kern w:val="21"/>
        <w:position w:val="0"/>
        <w:sz w:val="21"/>
        <w:u w:val="none"/>
        <w:vertAlign w:val="baseline"/>
      </w:rPr>
    </w:lvl>
    <w:lvl w:ilvl="6">
      <w:start w:val="1"/>
      <w:numFmt w:val="decimal"/>
      <w:lvlText w:val="%1.%2.%3.%4.%5.%6.%7"/>
      <w:lvlJc w:val="left"/>
      <w:pPr>
        <w:tabs>
          <w:tab w:val="left" w:pos="1401"/>
        </w:tabs>
        <w:ind w:left="1401" w:hanging="1296"/>
      </w:pPr>
    </w:lvl>
    <w:lvl w:ilvl="7">
      <w:start w:val="1"/>
      <w:numFmt w:val="decimal"/>
      <w:lvlText w:val="%1.%2.%3.%4.%5.%6.%7.%8"/>
      <w:lvlJc w:val="left"/>
      <w:pPr>
        <w:tabs>
          <w:tab w:val="left" w:pos="1545"/>
        </w:tabs>
        <w:ind w:left="1545" w:hanging="1440"/>
      </w:pPr>
    </w:lvl>
    <w:lvl w:ilvl="8">
      <w:start w:val="1"/>
      <w:numFmt w:val="decimal"/>
      <w:lvlText w:val="%1.%2.%3.%4.%5.%6.%7.%8.%9"/>
      <w:lvlJc w:val="left"/>
      <w:pPr>
        <w:tabs>
          <w:tab w:val="left" w:pos="1689"/>
        </w:tabs>
        <w:ind w:left="1689"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zMjM4NzUwZDllYWNhNjFjOGQzNjk2Y2U3MWU3ODQifQ=="/>
    <w:docVar w:name="KSO_WPS_MARK_KEY" w:val="b1f68d2b-7b39-43cc-84a3-cefbadd87256"/>
  </w:docVars>
  <w:rsids>
    <w:rsidRoot w:val="00646AF2"/>
    <w:rsid w:val="EFEF474A"/>
    <w:rsid w:val="00002B0B"/>
    <w:rsid w:val="00002E5C"/>
    <w:rsid w:val="0000334B"/>
    <w:rsid w:val="0000342C"/>
    <w:rsid w:val="00004002"/>
    <w:rsid w:val="00004FBA"/>
    <w:rsid w:val="0000577F"/>
    <w:rsid w:val="000059B7"/>
    <w:rsid w:val="00005D76"/>
    <w:rsid w:val="00010907"/>
    <w:rsid w:val="00010BD7"/>
    <w:rsid w:val="00014A2E"/>
    <w:rsid w:val="00014A3E"/>
    <w:rsid w:val="00016873"/>
    <w:rsid w:val="00017307"/>
    <w:rsid w:val="00022C12"/>
    <w:rsid w:val="000269FA"/>
    <w:rsid w:val="00026BB0"/>
    <w:rsid w:val="00027599"/>
    <w:rsid w:val="00027D40"/>
    <w:rsid w:val="000300A9"/>
    <w:rsid w:val="000320CF"/>
    <w:rsid w:val="0003260D"/>
    <w:rsid w:val="0003450B"/>
    <w:rsid w:val="00034E94"/>
    <w:rsid w:val="0003705D"/>
    <w:rsid w:val="00037ABC"/>
    <w:rsid w:val="000411B8"/>
    <w:rsid w:val="00041C39"/>
    <w:rsid w:val="000420C3"/>
    <w:rsid w:val="00043D82"/>
    <w:rsid w:val="00045625"/>
    <w:rsid w:val="00046405"/>
    <w:rsid w:val="00051CE1"/>
    <w:rsid w:val="00053F15"/>
    <w:rsid w:val="000540A6"/>
    <w:rsid w:val="000542E5"/>
    <w:rsid w:val="00054969"/>
    <w:rsid w:val="000552FB"/>
    <w:rsid w:val="00055689"/>
    <w:rsid w:val="000561EE"/>
    <w:rsid w:val="00056F26"/>
    <w:rsid w:val="00061A0E"/>
    <w:rsid w:val="00063098"/>
    <w:rsid w:val="00063CB0"/>
    <w:rsid w:val="00064D98"/>
    <w:rsid w:val="00065D3C"/>
    <w:rsid w:val="00066578"/>
    <w:rsid w:val="00066D35"/>
    <w:rsid w:val="000673A7"/>
    <w:rsid w:val="000714AD"/>
    <w:rsid w:val="00075BE0"/>
    <w:rsid w:val="0007600B"/>
    <w:rsid w:val="00076467"/>
    <w:rsid w:val="000769DE"/>
    <w:rsid w:val="0008388A"/>
    <w:rsid w:val="00084166"/>
    <w:rsid w:val="000851F5"/>
    <w:rsid w:val="00085764"/>
    <w:rsid w:val="000911D3"/>
    <w:rsid w:val="00091470"/>
    <w:rsid w:val="00092548"/>
    <w:rsid w:val="00092C6E"/>
    <w:rsid w:val="000936CC"/>
    <w:rsid w:val="00093D5C"/>
    <w:rsid w:val="00095CE4"/>
    <w:rsid w:val="000968C0"/>
    <w:rsid w:val="000A08B1"/>
    <w:rsid w:val="000A27F9"/>
    <w:rsid w:val="000A38BB"/>
    <w:rsid w:val="000A57DF"/>
    <w:rsid w:val="000B20D0"/>
    <w:rsid w:val="000B21D3"/>
    <w:rsid w:val="000B2AE3"/>
    <w:rsid w:val="000B47EB"/>
    <w:rsid w:val="000B5C03"/>
    <w:rsid w:val="000B6A21"/>
    <w:rsid w:val="000B7001"/>
    <w:rsid w:val="000B776B"/>
    <w:rsid w:val="000C0BA4"/>
    <w:rsid w:val="000C12CA"/>
    <w:rsid w:val="000C1BD9"/>
    <w:rsid w:val="000C3639"/>
    <w:rsid w:val="000C37D3"/>
    <w:rsid w:val="000C46BB"/>
    <w:rsid w:val="000C4A9B"/>
    <w:rsid w:val="000C5623"/>
    <w:rsid w:val="000C5C01"/>
    <w:rsid w:val="000C66AD"/>
    <w:rsid w:val="000C6E30"/>
    <w:rsid w:val="000C734F"/>
    <w:rsid w:val="000C7A50"/>
    <w:rsid w:val="000D0572"/>
    <w:rsid w:val="000D064C"/>
    <w:rsid w:val="000D1293"/>
    <w:rsid w:val="000D2E2E"/>
    <w:rsid w:val="000D365D"/>
    <w:rsid w:val="000D5228"/>
    <w:rsid w:val="000D5427"/>
    <w:rsid w:val="000D59FB"/>
    <w:rsid w:val="000D7B8D"/>
    <w:rsid w:val="000E0B6A"/>
    <w:rsid w:val="000E273D"/>
    <w:rsid w:val="000E2AF0"/>
    <w:rsid w:val="000E2B2D"/>
    <w:rsid w:val="000E3B2D"/>
    <w:rsid w:val="000E3B98"/>
    <w:rsid w:val="000E4155"/>
    <w:rsid w:val="000E42F9"/>
    <w:rsid w:val="000E48D2"/>
    <w:rsid w:val="000E494F"/>
    <w:rsid w:val="000E49F8"/>
    <w:rsid w:val="000E58A7"/>
    <w:rsid w:val="000E707A"/>
    <w:rsid w:val="000F0979"/>
    <w:rsid w:val="000F0E7E"/>
    <w:rsid w:val="000F261E"/>
    <w:rsid w:val="000F307C"/>
    <w:rsid w:val="000F4770"/>
    <w:rsid w:val="0010074A"/>
    <w:rsid w:val="00100DE9"/>
    <w:rsid w:val="0010348D"/>
    <w:rsid w:val="001055DB"/>
    <w:rsid w:val="00106325"/>
    <w:rsid w:val="00106D9F"/>
    <w:rsid w:val="00106E76"/>
    <w:rsid w:val="00107372"/>
    <w:rsid w:val="0011057A"/>
    <w:rsid w:val="001111C5"/>
    <w:rsid w:val="00111738"/>
    <w:rsid w:val="00111857"/>
    <w:rsid w:val="00111EF4"/>
    <w:rsid w:val="00113336"/>
    <w:rsid w:val="001142DD"/>
    <w:rsid w:val="00115EB5"/>
    <w:rsid w:val="0012167B"/>
    <w:rsid w:val="00122E3A"/>
    <w:rsid w:val="001238E0"/>
    <w:rsid w:val="00123B27"/>
    <w:rsid w:val="00125B0F"/>
    <w:rsid w:val="00127893"/>
    <w:rsid w:val="00130370"/>
    <w:rsid w:val="00130E0A"/>
    <w:rsid w:val="00131D0F"/>
    <w:rsid w:val="0013275A"/>
    <w:rsid w:val="0013322C"/>
    <w:rsid w:val="001340E4"/>
    <w:rsid w:val="00134248"/>
    <w:rsid w:val="00141283"/>
    <w:rsid w:val="00141323"/>
    <w:rsid w:val="001466CB"/>
    <w:rsid w:val="00146875"/>
    <w:rsid w:val="00146DC4"/>
    <w:rsid w:val="0015307E"/>
    <w:rsid w:val="001535C5"/>
    <w:rsid w:val="00154D6A"/>
    <w:rsid w:val="00157350"/>
    <w:rsid w:val="00162522"/>
    <w:rsid w:val="00166FE9"/>
    <w:rsid w:val="00171D9A"/>
    <w:rsid w:val="001742C2"/>
    <w:rsid w:val="00174DC8"/>
    <w:rsid w:val="00176302"/>
    <w:rsid w:val="001763F7"/>
    <w:rsid w:val="001764C3"/>
    <w:rsid w:val="00181DA2"/>
    <w:rsid w:val="00181ED2"/>
    <w:rsid w:val="0018257B"/>
    <w:rsid w:val="001842FF"/>
    <w:rsid w:val="00184305"/>
    <w:rsid w:val="00184EDF"/>
    <w:rsid w:val="001856BE"/>
    <w:rsid w:val="0018746A"/>
    <w:rsid w:val="001910DF"/>
    <w:rsid w:val="001910FF"/>
    <w:rsid w:val="00191B3F"/>
    <w:rsid w:val="00193F35"/>
    <w:rsid w:val="00195600"/>
    <w:rsid w:val="00196333"/>
    <w:rsid w:val="00196947"/>
    <w:rsid w:val="00197AE2"/>
    <w:rsid w:val="001A1F67"/>
    <w:rsid w:val="001A2BDB"/>
    <w:rsid w:val="001A3DBB"/>
    <w:rsid w:val="001A4D14"/>
    <w:rsid w:val="001A5556"/>
    <w:rsid w:val="001A7D3E"/>
    <w:rsid w:val="001B13FD"/>
    <w:rsid w:val="001B1F9C"/>
    <w:rsid w:val="001B2047"/>
    <w:rsid w:val="001B271D"/>
    <w:rsid w:val="001B3718"/>
    <w:rsid w:val="001B385E"/>
    <w:rsid w:val="001B49AD"/>
    <w:rsid w:val="001B4B69"/>
    <w:rsid w:val="001B59D4"/>
    <w:rsid w:val="001C0AA6"/>
    <w:rsid w:val="001C0BFB"/>
    <w:rsid w:val="001C1BF2"/>
    <w:rsid w:val="001C2247"/>
    <w:rsid w:val="001C3882"/>
    <w:rsid w:val="001C57A5"/>
    <w:rsid w:val="001D23DC"/>
    <w:rsid w:val="001D4A9C"/>
    <w:rsid w:val="001D6217"/>
    <w:rsid w:val="001E3225"/>
    <w:rsid w:val="001E42F3"/>
    <w:rsid w:val="001E592C"/>
    <w:rsid w:val="001E6C2B"/>
    <w:rsid w:val="001E77EA"/>
    <w:rsid w:val="001E7DCE"/>
    <w:rsid w:val="001F042F"/>
    <w:rsid w:val="001F06C8"/>
    <w:rsid w:val="001F1031"/>
    <w:rsid w:val="001F1DD3"/>
    <w:rsid w:val="001F51EF"/>
    <w:rsid w:val="001F6AAE"/>
    <w:rsid w:val="001F6B40"/>
    <w:rsid w:val="00202086"/>
    <w:rsid w:val="00214D60"/>
    <w:rsid w:val="00214F62"/>
    <w:rsid w:val="00215AA2"/>
    <w:rsid w:val="00216E1B"/>
    <w:rsid w:val="002175CC"/>
    <w:rsid w:val="002202E3"/>
    <w:rsid w:val="00220417"/>
    <w:rsid w:val="002205F5"/>
    <w:rsid w:val="00222694"/>
    <w:rsid w:val="00222F8B"/>
    <w:rsid w:val="00223A5E"/>
    <w:rsid w:val="00224B04"/>
    <w:rsid w:val="00224DF1"/>
    <w:rsid w:val="00225738"/>
    <w:rsid w:val="00225A16"/>
    <w:rsid w:val="00227500"/>
    <w:rsid w:val="0022755C"/>
    <w:rsid w:val="00230A43"/>
    <w:rsid w:val="002310D6"/>
    <w:rsid w:val="00231655"/>
    <w:rsid w:val="00232CD9"/>
    <w:rsid w:val="00233BE2"/>
    <w:rsid w:val="00233D66"/>
    <w:rsid w:val="00241767"/>
    <w:rsid w:val="002429F6"/>
    <w:rsid w:val="00243736"/>
    <w:rsid w:val="002453E0"/>
    <w:rsid w:val="00246796"/>
    <w:rsid w:val="002477AD"/>
    <w:rsid w:val="00251C34"/>
    <w:rsid w:val="002527C6"/>
    <w:rsid w:val="0025302F"/>
    <w:rsid w:val="002534F6"/>
    <w:rsid w:val="002559F3"/>
    <w:rsid w:val="002565B8"/>
    <w:rsid w:val="00260ECB"/>
    <w:rsid w:val="0026140E"/>
    <w:rsid w:val="00261B9B"/>
    <w:rsid w:val="00265B83"/>
    <w:rsid w:val="00267947"/>
    <w:rsid w:val="002700C0"/>
    <w:rsid w:val="002728DA"/>
    <w:rsid w:val="00272B18"/>
    <w:rsid w:val="00276F83"/>
    <w:rsid w:val="0028028E"/>
    <w:rsid w:val="00280307"/>
    <w:rsid w:val="0028038A"/>
    <w:rsid w:val="00282058"/>
    <w:rsid w:val="00283C66"/>
    <w:rsid w:val="00284E32"/>
    <w:rsid w:val="00286829"/>
    <w:rsid w:val="00290D86"/>
    <w:rsid w:val="00290E96"/>
    <w:rsid w:val="0029331D"/>
    <w:rsid w:val="0029462F"/>
    <w:rsid w:val="00294F8D"/>
    <w:rsid w:val="002972AB"/>
    <w:rsid w:val="002A0630"/>
    <w:rsid w:val="002A24E9"/>
    <w:rsid w:val="002A4BA3"/>
    <w:rsid w:val="002A6DF2"/>
    <w:rsid w:val="002B02CB"/>
    <w:rsid w:val="002B1557"/>
    <w:rsid w:val="002B3CF5"/>
    <w:rsid w:val="002B6A0A"/>
    <w:rsid w:val="002B7007"/>
    <w:rsid w:val="002B7897"/>
    <w:rsid w:val="002C0910"/>
    <w:rsid w:val="002C0CFD"/>
    <w:rsid w:val="002C0E8E"/>
    <w:rsid w:val="002C3B46"/>
    <w:rsid w:val="002C447A"/>
    <w:rsid w:val="002C6A03"/>
    <w:rsid w:val="002D0054"/>
    <w:rsid w:val="002D1771"/>
    <w:rsid w:val="002D3294"/>
    <w:rsid w:val="002D4F8D"/>
    <w:rsid w:val="002D5F7E"/>
    <w:rsid w:val="002D7040"/>
    <w:rsid w:val="002D7C29"/>
    <w:rsid w:val="002E00CA"/>
    <w:rsid w:val="002E2B13"/>
    <w:rsid w:val="002E2B2C"/>
    <w:rsid w:val="002E36FB"/>
    <w:rsid w:val="002E4999"/>
    <w:rsid w:val="002E5A19"/>
    <w:rsid w:val="002E71E3"/>
    <w:rsid w:val="002F0A06"/>
    <w:rsid w:val="002F28BD"/>
    <w:rsid w:val="002F3954"/>
    <w:rsid w:val="002F42BF"/>
    <w:rsid w:val="002F790E"/>
    <w:rsid w:val="003017ED"/>
    <w:rsid w:val="00301842"/>
    <w:rsid w:val="00301C64"/>
    <w:rsid w:val="003020AC"/>
    <w:rsid w:val="00304BF0"/>
    <w:rsid w:val="003062EF"/>
    <w:rsid w:val="0030685B"/>
    <w:rsid w:val="00306A85"/>
    <w:rsid w:val="00314208"/>
    <w:rsid w:val="003154C6"/>
    <w:rsid w:val="00316010"/>
    <w:rsid w:val="003173BB"/>
    <w:rsid w:val="003174CC"/>
    <w:rsid w:val="00321971"/>
    <w:rsid w:val="003234B8"/>
    <w:rsid w:val="00323996"/>
    <w:rsid w:val="00324CCC"/>
    <w:rsid w:val="00324DD6"/>
    <w:rsid w:val="0032606E"/>
    <w:rsid w:val="00327B2E"/>
    <w:rsid w:val="00330D0D"/>
    <w:rsid w:val="003310E9"/>
    <w:rsid w:val="003319F0"/>
    <w:rsid w:val="00333109"/>
    <w:rsid w:val="0033340A"/>
    <w:rsid w:val="00334B7B"/>
    <w:rsid w:val="0033650C"/>
    <w:rsid w:val="00336CF0"/>
    <w:rsid w:val="00336FE0"/>
    <w:rsid w:val="00337683"/>
    <w:rsid w:val="00340E18"/>
    <w:rsid w:val="00343248"/>
    <w:rsid w:val="003436C4"/>
    <w:rsid w:val="00343B24"/>
    <w:rsid w:val="003440E0"/>
    <w:rsid w:val="003456BF"/>
    <w:rsid w:val="003457D6"/>
    <w:rsid w:val="003461B3"/>
    <w:rsid w:val="003475DB"/>
    <w:rsid w:val="00350936"/>
    <w:rsid w:val="00350DEF"/>
    <w:rsid w:val="00354858"/>
    <w:rsid w:val="00354DAD"/>
    <w:rsid w:val="003577A9"/>
    <w:rsid w:val="00357CBE"/>
    <w:rsid w:val="00357F0A"/>
    <w:rsid w:val="0036371E"/>
    <w:rsid w:val="003673C9"/>
    <w:rsid w:val="00367446"/>
    <w:rsid w:val="0037275F"/>
    <w:rsid w:val="00372CF1"/>
    <w:rsid w:val="0037386B"/>
    <w:rsid w:val="00374E33"/>
    <w:rsid w:val="00376099"/>
    <w:rsid w:val="003779C8"/>
    <w:rsid w:val="00380415"/>
    <w:rsid w:val="003809B5"/>
    <w:rsid w:val="00381D8F"/>
    <w:rsid w:val="00386892"/>
    <w:rsid w:val="003936C2"/>
    <w:rsid w:val="00395130"/>
    <w:rsid w:val="00396DB7"/>
    <w:rsid w:val="00397560"/>
    <w:rsid w:val="003A104A"/>
    <w:rsid w:val="003A142B"/>
    <w:rsid w:val="003A1DE5"/>
    <w:rsid w:val="003A2CF7"/>
    <w:rsid w:val="003A415C"/>
    <w:rsid w:val="003A67C6"/>
    <w:rsid w:val="003A6DFF"/>
    <w:rsid w:val="003A7B0E"/>
    <w:rsid w:val="003B2F79"/>
    <w:rsid w:val="003B3C2E"/>
    <w:rsid w:val="003B70A6"/>
    <w:rsid w:val="003C3028"/>
    <w:rsid w:val="003C69BB"/>
    <w:rsid w:val="003C6B3D"/>
    <w:rsid w:val="003C6B8B"/>
    <w:rsid w:val="003D3BE9"/>
    <w:rsid w:val="003D5DD7"/>
    <w:rsid w:val="003D5E37"/>
    <w:rsid w:val="003E0140"/>
    <w:rsid w:val="003E055D"/>
    <w:rsid w:val="003E05D0"/>
    <w:rsid w:val="003E087A"/>
    <w:rsid w:val="003E0BFF"/>
    <w:rsid w:val="003E39BC"/>
    <w:rsid w:val="003E3B01"/>
    <w:rsid w:val="003E5905"/>
    <w:rsid w:val="003E7B25"/>
    <w:rsid w:val="003F0C7F"/>
    <w:rsid w:val="003F45FD"/>
    <w:rsid w:val="003F57FA"/>
    <w:rsid w:val="00402E98"/>
    <w:rsid w:val="004032E1"/>
    <w:rsid w:val="004035D9"/>
    <w:rsid w:val="00403608"/>
    <w:rsid w:val="00403B91"/>
    <w:rsid w:val="00403EA4"/>
    <w:rsid w:val="00404A3F"/>
    <w:rsid w:val="004052C8"/>
    <w:rsid w:val="00405B3E"/>
    <w:rsid w:val="004063EB"/>
    <w:rsid w:val="00406871"/>
    <w:rsid w:val="004073F6"/>
    <w:rsid w:val="00407536"/>
    <w:rsid w:val="004111BF"/>
    <w:rsid w:val="004121AB"/>
    <w:rsid w:val="0041386B"/>
    <w:rsid w:val="00414A0F"/>
    <w:rsid w:val="004206C5"/>
    <w:rsid w:val="00421635"/>
    <w:rsid w:val="00421F7D"/>
    <w:rsid w:val="00422694"/>
    <w:rsid w:val="00422BD6"/>
    <w:rsid w:val="004231EF"/>
    <w:rsid w:val="004239E2"/>
    <w:rsid w:val="00425CD6"/>
    <w:rsid w:val="00432F79"/>
    <w:rsid w:val="00433D5C"/>
    <w:rsid w:val="00434DC2"/>
    <w:rsid w:val="00435326"/>
    <w:rsid w:val="00435619"/>
    <w:rsid w:val="00435D25"/>
    <w:rsid w:val="00436A51"/>
    <w:rsid w:val="00436EAD"/>
    <w:rsid w:val="00441516"/>
    <w:rsid w:val="004415B1"/>
    <w:rsid w:val="004465A5"/>
    <w:rsid w:val="00447EDF"/>
    <w:rsid w:val="00450687"/>
    <w:rsid w:val="0045457F"/>
    <w:rsid w:val="00455195"/>
    <w:rsid w:val="00460377"/>
    <w:rsid w:val="004617F1"/>
    <w:rsid w:val="0046222A"/>
    <w:rsid w:val="00462BF6"/>
    <w:rsid w:val="004637C7"/>
    <w:rsid w:val="00466DBD"/>
    <w:rsid w:val="00470C13"/>
    <w:rsid w:val="0047149A"/>
    <w:rsid w:val="004716E0"/>
    <w:rsid w:val="004721D6"/>
    <w:rsid w:val="00472268"/>
    <w:rsid w:val="00474256"/>
    <w:rsid w:val="004746BE"/>
    <w:rsid w:val="004756FF"/>
    <w:rsid w:val="00475DF3"/>
    <w:rsid w:val="00483D9F"/>
    <w:rsid w:val="004842B3"/>
    <w:rsid w:val="00485D0A"/>
    <w:rsid w:val="00486618"/>
    <w:rsid w:val="00490C12"/>
    <w:rsid w:val="004916FE"/>
    <w:rsid w:val="00494820"/>
    <w:rsid w:val="004A121C"/>
    <w:rsid w:val="004A142D"/>
    <w:rsid w:val="004A1805"/>
    <w:rsid w:val="004A425E"/>
    <w:rsid w:val="004A4F7E"/>
    <w:rsid w:val="004A65C3"/>
    <w:rsid w:val="004B025F"/>
    <w:rsid w:val="004B30EF"/>
    <w:rsid w:val="004B46D9"/>
    <w:rsid w:val="004B614A"/>
    <w:rsid w:val="004B69DA"/>
    <w:rsid w:val="004B7515"/>
    <w:rsid w:val="004C02ED"/>
    <w:rsid w:val="004C0CB0"/>
    <w:rsid w:val="004C4EC3"/>
    <w:rsid w:val="004C5AE4"/>
    <w:rsid w:val="004C67AA"/>
    <w:rsid w:val="004C7199"/>
    <w:rsid w:val="004C7E3E"/>
    <w:rsid w:val="004D0089"/>
    <w:rsid w:val="004D0F57"/>
    <w:rsid w:val="004D5199"/>
    <w:rsid w:val="004D522F"/>
    <w:rsid w:val="004D5D5F"/>
    <w:rsid w:val="004D7405"/>
    <w:rsid w:val="004D7996"/>
    <w:rsid w:val="004D7B32"/>
    <w:rsid w:val="004E279F"/>
    <w:rsid w:val="004E2E0C"/>
    <w:rsid w:val="004E5543"/>
    <w:rsid w:val="004E5724"/>
    <w:rsid w:val="004F1262"/>
    <w:rsid w:val="004F14B6"/>
    <w:rsid w:val="004F1958"/>
    <w:rsid w:val="004F3D49"/>
    <w:rsid w:val="004F4E8A"/>
    <w:rsid w:val="004F4EE9"/>
    <w:rsid w:val="004F5050"/>
    <w:rsid w:val="004F635C"/>
    <w:rsid w:val="004F67C0"/>
    <w:rsid w:val="00500533"/>
    <w:rsid w:val="00502384"/>
    <w:rsid w:val="00505186"/>
    <w:rsid w:val="00505DDE"/>
    <w:rsid w:val="00510F14"/>
    <w:rsid w:val="005120E2"/>
    <w:rsid w:val="0051239A"/>
    <w:rsid w:val="0051510B"/>
    <w:rsid w:val="0051599E"/>
    <w:rsid w:val="00517291"/>
    <w:rsid w:val="00520AD2"/>
    <w:rsid w:val="00520BE3"/>
    <w:rsid w:val="00523C10"/>
    <w:rsid w:val="00524632"/>
    <w:rsid w:val="005258F8"/>
    <w:rsid w:val="00525E43"/>
    <w:rsid w:val="00530C28"/>
    <w:rsid w:val="00531074"/>
    <w:rsid w:val="0053186A"/>
    <w:rsid w:val="00532000"/>
    <w:rsid w:val="0053301E"/>
    <w:rsid w:val="005341FF"/>
    <w:rsid w:val="00536FD5"/>
    <w:rsid w:val="005400C3"/>
    <w:rsid w:val="00543281"/>
    <w:rsid w:val="00543D89"/>
    <w:rsid w:val="005462EB"/>
    <w:rsid w:val="00546386"/>
    <w:rsid w:val="005476ED"/>
    <w:rsid w:val="00551FF3"/>
    <w:rsid w:val="005526E3"/>
    <w:rsid w:val="0055444D"/>
    <w:rsid w:val="00554E9B"/>
    <w:rsid w:val="0055517A"/>
    <w:rsid w:val="0055600B"/>
    <w:rsid w:val="0055655B"/>
    <w:rsid w:val="005626B9"/>
    <w:rsid w:val="00562B57"/>
    <w:rsid w:val="00566267"/>
    <w:rsid w:val="00566328"/>
    <w:rsid w:val="00570DF6"/>
    <w:rsid w:val="00572791"/>
    <w:rsid w:val="00573F5F"/>
    <w:rsid w:val="0057431F"/>
    <w:rsid w:val="00574EB4"/>
    <w:rsid w:val="00577800"/>
    <w:rsid w:val="00580E69"/>
    <w:rsid w:val="00581453"/>
    <w:rsid w:val="00583315"/>
    <w:rsid w:val="00583F0F"/>
    <w:rsid w:val="00584EE1"/>
    <w:rsid w:val="0058527B"/>
    <w:rsid w:val="005875EA"/>
    <w:rsid w:val="005877A8"/>
    <w:rsid w:val="005909E1"/>
    <w:rsid w:val="00592557"/>
    <w:rsid w:val="005928FB"/>
    <w:rsid w:val="00594271"/>
    <w:rsid w:val="00596C35"/>
    <w:rsid w:val="005A08C9"/>
    <w:rsid w:val="005A36D6"/>
    <w:rsid w:val="005A38E7"/>
    <w:rsid w:val="005A3E17"/>
    <w:rsid w:val="005A52B9"/>
    <w:rsid w:val="005A5CF3"/>
    <w:rsid w:val="005A69A0"/>
    <w:rsid w:val="005A7151"/>
    <w:rsid w:val="005B15AA"/>
    <w:rsid w:val="005B3FCA"/>
    <w:rsid w:val="005B75F5"/>
    <w:rsid w:val="005B7F03"/>
    <w:rsid w:val="005C0F30"/>
    <w:rsid w:val="005C1042"/>
    <w:rsid w:val="005C2EF5"/>
    <w:rsid w:val="005C6490"/>
    <w:rsid w:val="005C7295"/>
    <w:rsid w:val="005D33C8"/>
    <w:rsid w:val="005D3BBB"/>
    <w:rsid w:val="005D438D"/>
    <w:rsid w:val="005D460B"/>
    <w:rsid w:val="005D4750"/>
    <w:rsid w:val="005D626F"/>
    <w:rsid w:val="005D6CB9"/>
    <w:rsid w:val="005E02BD"/>
    <w:rsid w:val="005E0F39"/>
    <w:rsid w:val="005E2877"/>
    <w:rsid w:val="005E441C"/>
    <w:rsid w:val="005E5358"/>
    <w:rsid w:val="005E55E4"/>
    <w:rsid w:val="005E571A"/>
    <w:rsid w:val="005E59B8"/>
    <w:rsid w:val="005E7946"/>
    <w:rsid w:val="005F0DB0"/>
    <w:rsid w:val="005F54DF"/>
    <w:rsid w:val="005F5CC1"/>
    <w:rsid w:val="00600330"/>
    <w:rsid w:val="00600C9A"/>
    <w:rsid w:val="00602BAB"/>
    <w:rsid w:val="00602D28"/>
    <w:rsid w:val="0060572D"/>
    <w:rsid w:val="006102A8"/>
    <w:rsid w:val="00611F81"/>
    <w:rsid w:val="0061252A"/>
    <w:rsid w:val="00612AB1"/>
    <w:rsid w:val="006130F6"/>
    <w:rsid w:val="0061446C"/>
    <w:rsid w:val="006145D8"/>
    <w:rsid w:val="00615A58"/>
    <w:rsid w:val="00624869"/>
    <w:rsid w:val="006256D8"/>
    <w:rsid w:val="00626873"/>
    <w:rsid w:val="00626D3C"/>
    <w:rsid w:val="0063120F"/>
    <w:rsid w:val="006324DA"/>
    <w:rsid w:val="006328F0"/>
    <w:rsid w:val="00640126"/>
    <w:rsid w:val="006401A3"/>
    <w:rsid w:val="006414EC"/>
    <w:rsid w:val="00642306"/>
    <w:rsid w:val="00643BF0"/>
    <w:rsid w:val="00644882"/>
    <w:rsid w:val="00645349"/>
    <w:rsid w:val="00645E3E"/>
    <w:rsid w:val="00646AF2"/>
    <w:rsid w:val="0064779F"/>
    <w:rsid w:val="006500C2"/>
    <w:rsid w:val="00650101"/>
    <w:rsid w:val="0065065F"/>
    <w:rsid w:val="00652505"/>
    <w:rsid w:val="00652D9D"/>
    <w:rsid w:val="00653349"/>
    <w:rsid w:val="00655801"/>
    <w:rsid w:val="00656351"/>
    <w:rsid w:val="00661BB1"/>
    <w:rsid w:val="0066214E"/>
    <w:rsid w:val="006635BF"/>
    <w:rsid w:val="0066460F"/>
    <w:rsid w:val="00667A9D"/>
    <w:rsid w:val="00670839"/>
    <w:rsid w:val="00670EEC"/>
    <w:rsid w:val="00673D56"/>
    <w:rsid w:val="006761A8"/>
    <w:rsid w:val="006773C6"/>
    <w:rsid w:val="00680166"/>
    <w:rsid w:val="00680BDE"/>
    <w:rsid w:val="0068333D"/>
    <w:rsid w:val="00683BB8"/>
    <w:rsid w:val="00684990"/>
    <w:rsid w:val="00686658"/>
    <w:rsid w:val="00690D68"/>
    <w:rsid w:val="00694962"/>
    <w:rsid w:val="0069700B"/>
    <w:rsid w:val="006A01ED"/>
    <w:rsid w:val="006A05B7"/>
    <w:rsid w:val="006A08A7"/>
    <w:rsid w:val="006A1198"/>
    <w:rsid w:val="006A1780"/>
    <w:rsid w:val="006A1BF7"/>
    <w:rsid w:val="006A20D5"/>
    <w:rsid w:val="006A53D2"/>
    <w:rsid w:val="006A5B91"/>
    <w:rsid w:val="006A65A3"/>
    <w:rsid w:val="006A676F"/>
    <w:rsid w:val="006B04D2"/>
    <w:rsid w:val="006B399C"/>
    <w:rsid w:val="006B4193"/>
    <w:rsid w:val="006B4AE8"/>
    <w:rsid w:val="006B5B8B"/>
    <w:rsid w:val="006B5C0B"/>
    <w:rsid w:val="006B6C3A"/>
    <w:rsid w:val="006B6E68"/>
    <w:rsid w:val="006B71E4"/>
    <w:rsid w:val="006C0550"/>
    <w:rsid w:val="006C1B8D"/>
    <w:rsid w:val="006C2BB5"/>
    <w:rsid w:val="006C366B"/>
    <w:rsid w:val="006C4517"/>
    <w:rsid w:val="006C5686"/>
    <w:rsid w:val="006C7346"/>
    <w:rsid w:val="006D0049"/>
    <w:rsid w:val="006D012F"/>
    <w:rsid w:val="006D02FA"/>
    <w:rsid w:val="006D03C0"/>
    <w:rsid w:val="006D1A5E"/>
    <w:rsid w:val="006D31C0"/>
    <w:rsid w:val="006D3233"/>
    <w:rsid w:val="006D7A0D"/>
    <w:rsid w:val="006D7E9C"/>
    <w:rsid w:val="006D7FC4"/>
    <w:rsid w:val="006E1A7B"/>
    <w:rsid w:val="006E2BEE"/>
    <w:rsid w:val="006E3267"/>
    <w:rsid w:val="006E3609"/>
    <w:rsid w:val="006E3ADA"/>
    <w:rsid w:val="006E4DB8"/>
    <w:rsid w:val="006E5366"/>
    <w:rsid w:val="006E6A1C"/>
    <w:rsid w:val="006E7DF0"/>
    <w:rsid w:val="006F2C35"/>
    <w:rsid w:val="006F2E96"/>
    <w:rsid w:val="006F3F68"/>
    <w:rsid w:val="006F410B"/>
    <w:rsid w:val="006F5C2D"/>
    <w:rsid w:val="006F7E1D"/>
    <w:rsid w:val="007006D0"/>
    <w:rsid w:val="00700C8A"/>
    <w:rsid w:val="00702CC0"/>
    <w:rsid w:val="007065CB"/>
    <w:rsid w:val="00707934"/>
    <w:rsid w:val="00710422"/>
    <w:rsid w:val="007132DC"/>
    <w:rsid w:val="00721CA0"/>
    <w:rsid w:val="00725951"/>
    <w:rsid w:val="00726784"/>
    <w:rsid w:val="007308A0"/>
    <w:rsid w:val="00730FB4"/>
    <w:rsid w:val="00732A7F"/>
    <w:rsid w:val="0073326F"/>
    <w:rsid w:val="00735E8C"/>
    <w:rsid w:val="00737B3D"/>
    <w:rsid w:val="00742349"/>
    <w:rsid w:val="00743101"/>
    <w:rsid w:val="007442CE"/>
    <w:rsid w:val="00746D5D"/>
    <w:rsid w:val="00753DF8"/>
    <w:rsid w:val="00753E49"/>
    <w:rsid w:val="00754473"/>
    <w:rsid w:val="007545FC"/>
    <w:rsid w:val="00755408"/>
    <w:rsid w:val="00756A04"/>
    <w:rsid w:val="00757EA9"/>
    <w:rsid w:val="00760640"/>
    <w:rsid w:val="0076205F"/>
    <w:rsid w:val="007627D3"/>
    <w:rsid w:val="007634F0"/>
    <w:rsid w:val="007642BF"/>
    <w:rsid w:val="0076481A"/>
    <w:rsid w:val="007648D2"/>
    <w:rsid w:val="00765A0D"/>
    <w:rsid w:val="00770701"/>
    <w:rsid w:val="007716E6"/>
    <w:rsid w:val="00772C6E"/>
    <w:rsid w:val="007746EE"/>
    <w:rsid w:val="00775026"/>
    <w:rsid w:val="00775EF6"/>
    <w:rsid w:val="00782411"/>
    <w:rsid w:val="00782472"/>
    <w:rsid w:val="007833E8"/>
    <w:rsid w:val="00785197"/>
    <w:rsid w:val="007871CF"/>
    <w:rsid w:val="007901C2"/>
    <w:rsid w:val="0079170A"/>
    <w:rsid w:val="00791D87"/>
    <w:rsid w:val="0079218D"/>
    <w:rsid w:val="0079599E"/>
    <w:rsid w:val="00797998"/>
    <w:rsid w:val="007A0EF9"/>
    <w:rsid w:val="007A30C7"/>
    <w:rsid w:val="007A3192"/>
    <w:rsid w:val="007A3BD7"/>
    <w:rsid w:val="007A4DBE"/>
    <w:rsid w:val="007A5062"/>
    <w:rsid w:val="007A559B"/>
    <w:rsid w:val="007A618E"/>
    <w:rsid w:val="007A6ADC"/>
    <w:rsid w:val="007A703F"/>
    <w:rsid w:val="007B0BFF"/>
    <w:rsid w:val="007B1578"/>
    <w:rsid w:val="007B1A1C"/>
    <w:rsid w:val="007B1E32"/>
    <w:rsid w:val="007B5AA3"/>
    <w:rsid w:val="007C30AA"/>
    <w:rsid w:val="007C3CF3"/>
    <w:rsid w:val="007C4651"/>
    <w:rsid w:val="007D0589"/>
    <w:rsid w:val="007D3F22"/>
    <w:rsid w:val="007D53FB"/>
    <w:rsid w:val="007D62AA"/>
    <w:rsid w:val="007E2369"/>
    <w:rsid w:val="007E324F"/>
    <w:rsid w:val="007E579B"/>
    <w:rsid w:val="007E5C00"/>
    <w:rsid w:val="007E666B"/>
    <w:rsid w:val="007F0C4E"/>
    <w:rsid w:val="007F20F2"/>
    <w:rsid w:val="007F394C"/>
    <w:rsid w:val="007F6008"/>
    <w:rsid w:val="00801C3F"/>
    <w:rsid w:val="00804910"/>
    <w:rsid w:val="00805800"/>
    <w:rsid w:val="00807B0F"/>
    <w:rsid w:val="00810F14"/>
    <w:rsid w:val="00811844"/>
    <w:rsid w:val="00811CAD"/>
    <w:rsid w:val="008120C2"/>
    <w:rsid w:val="00812BA4"/>
    <w:rsid w:val="00813A50"/>
    <w:rsid w:val="00814099"/>
    <w:rsid w:val="00814714"/>
    <w:rsid w:val="008151CA"/>
    <w:rsid w:val="00815B61"/>
    <w:rsid w:val="0081677C"/>
    <w:rsid w:val="0081711F"/>
    <w:rsid w:val="0081726B"/>
    <w:rsid w:val="008207DE"/>
    <w:rsid w:val="00821960"/>
    <w:rsid w:val="00827351"/>
    <w:rsid w:val="008342ED"/>
    <w:rsid w:val="00834DFD"/>
    <w:rsid w:val="008371BB"/>
    <w:rsid w:val="00837CED"/>
    <w:rsid w:val="008402D1"/>
    <w:rsid w:val="00844742"/>
    <w:rsid w:val="00845798"/>
    <w:rsid w:val="00845991"/>
    <w:rsid w:val="008512C3"/>
    <w:rsid w:val="008544F0"/>
    <w:rsid w:val="00855D8B"/>
    <w:rsid w:val="00857F16"/>
    <w:rsid w:val="00860C4D"/>
    <w:rsid w:val="00860D39"/>
    <w:rsid w:val="00862930"/>
    <w:rsid w:val="008654E5"/>
    <w:rsid w:val="0086704D"/>
    <w:rsid w:val="00874687"/>
    <w:rsid w:val="00874A85"/>
    <w:rsid w:val="0087525B"/>
    <w:rsid w:val="00876280"/>
    <w:rsid w:val="00876329"/>
    <w:rsid w:val="00880545"/>
    <w:rsid w:val="00881A68"/>
    <w:rsid w:val="008836B1"/>
    <w:rsid w:val="008840DE"/>
    <w:rsid w:val="00884AC3"/>
    <w:rsid w:val="008855B1"/>
    <w:rsid w:val="0089068B"/>
    <w:rsid w:val="00890C1A"/>
    <w:rsid w:val="00892575"/>
    <w:rsid w:val="0089443D"/>
    <w:rsid w:val="008947D1"/>
    <w:rsid w:val="00895405"/>
    <w:rsid w:val="00895D26"/>
    <w:rsid w:val="008979D7"/>
    <w:rsid w:val="008A0235"/>
    <w:rsid w:val="008A13F5"/>
    <w:rsid w:val="008A31B1"/>
    <w:rsid w:val="008A3BFB"/>
    <w:rsid w:val="008A45C2"/>
    <w:rsid w:val="008A4F18"/>
    <w:rsid w:val="008A5268"/>
    <w:rsid w:val="008A6F91"/>
    <w:rsid w:val="008A7059"/>
    <w:rsid w:val="008B2574"/>
    <w:rsid w:val="008B4D7A"/>
    <w:rsid w:val="008B568C"/>
    <w:rsid w:val="008C2DA8"/>
    <w:rsid w:val="008C30C1"/>
    <w:rsid w:val="008C4417"/>
    <w:rsid w:val="008C4E51"/>
    <w:rsid w:val="008C7856"/>
    <w:rsid w:val="008D19F6"/>
    <w:rsid w:val="008D39DC"/>
    <w:rsid w:val="008D4FF3"/>
    <w:rsid w:val="008D5D4F"/>
    <w:rsid w:val="008E3CD8"/>
    <w:rsid w:val="008E3F8E"/>
    <w:rsid w:val="008E4066"/>
    <w:rsid w:val="008E4F4E"/>
    <w:rsid w:val="008E5C8D"/>
    <w:rsid w:val="008E5CFD"/>
    <w:rsid w:val="008E7598"/>
    <w:rsid w:val="008E7855"/>
    <w:rsid w:val="008E7FC0"/>
    <w:rsid w:val="008F0C44"/>
    <w:rsid w:val="008F1296"/>
    <w:rsid w:val="008F12DF"/>
    <w:rsid w:val="008F2E22"/>
    <w:rsid w:val="008F3BEB"/>
    <w:rsid w:val="008F5B87"/>
    <w:rsid w:val="00901D78"/>
    <w:rsid w:val="00902F5F"/>
    <w:rsid w:val="0090366A"/>
    <w:rsid w:val="0090436A"/>
    <w:rsid w:val="00904721"/>
    <w:rsid w:val="00905DDE"/>
    <w:rsid w:val="009066DD"/>
    <w:rsid w:val="0091051A"/>
    <w:rsid w:val="009108B9"/>
    <w:rsid w:val="00912E8F"/>
    <w:rsid w:val="00913062"/>
    <w:rsid w:val="00914FC3"/>
    <w:rsid w:val="00917021"/>
    <w:rsid w:val="00917551"/>
    <w:rsid w:val="00917E65"/>
    <w:rsid w:val="00920023"/>
    <w:rsid w:val="009204D5"/>
    <w:rsid w:val="00920B5B"/>
    <w:rsid w:val="00921FAA"/>
    <w:rsid w:val="00924A47"/>
    <w:rsid w:val="009259F4"/>
    <w:rsid w:val="0092610B"/>
    <w:rsid w:val="009316BA"/>
    <w:rsid w:val="00932012"/>
    <w:rsid w:val="0093217B"/>
    <w:rsid w:val="00932A16"/>
    <w:rsid w:val="00934200"/>
    <w:rsid w:val="00935660"/>
    <w:rsid w:val="00935C3C"/>
    <w:rsid w:val="00944D13"/>
    <w:rsid w:val="00945B03"/>
    <w:rsid w:val="00947B34"/>
    <w:rsid w:val="00955623"/>
    <w:rsid w:val="0095660F"/>
    <w:rsid w:val="00956B0C"/>
    <w:rsid w:val="00956BC1"/>
    <w:rsid w:val="009573D5"/>
    <w:rsid w:val="009606E3"/>
    <w:rsid w:val="00960EE7"/>
    <w:rsid w:val="00960FD8"/>
    <w:rsid w:val="009611CE"/>
    <w:rsid w:val="00962720"/>
    <w:rsid w:val="00962FFE"/>
    <w:rsid w:val="00965019"/>
    <w:rsid w:val="00966710"/>
    <w:rsid w:val="009676F5"/>
    <w:rsid w:val="009713CB"/>
    <w:rsid w:val="009718C7"/>
    <w:rsid w:val="009755AA"/>
    <w:rsid w:val="00975988"/>
    <w:rsid w:val="009760F9"/>
    <w:rsid w:val="00976A9D"/>
    <w:rsid w:val="0098050D"/>
    <w:rsid w:val="00980B39"/>
    <w:rsid w:val="0098585D"/>
    <w:rsid w:val="0098769C"/>
    <w:rsid w:val="00990EF1"/>
    <w:rsid w:val="009917FD"/>
    <w:rsid w:val="009943A6"/>
    <w:rsid w:val="009944FC"/>
    <w:rsid w:val="00994A53"/>
    <w:rsid w:val="00994EDA"/>
    <w:rsid w:val="00995BF1"/>
    <w:rsid w:val="00995FDC"/>
    <w:rsid w:val="009A26CD"/>
    <w:rsid w:val="009A28E5"/>
    <w:rsid w:val="009A327B"/>
    <w:rsid w:val="009A4662"/>
    <w:rsid w:val="009A6B98"/>
    <w:rsid w:val="009A6DA1"/>
    <w:rsid w:val="009B174A"/>
    <w:rsid w:val="009B373F"/>
    <w:rsid w:val="009B53D8"/>
    <w:rsid w:val="009B55AB"/>
    <w:rsid w:val="009B7DEC"/>
    <w:rsid w:val="009C017F"/>
    <w:rsid w:val="009C1C51"/>
    <w:rsid w:val="009C20C1"/>
    <w:rsid w:val="009C28E9"/>
    <w:rsid w:val="009C35A2"/>
    <w:rsid w:val="009C7BD7"/>
    <w:rsid w:val="009D20FE"/>
    <w:rsid w:val="009D2307"/>
    <w:rsid w:val="009D2A4F"/>
    <w:rsid w:val="009D429D"/>
    <w:rsid w:val="009D4F90"/>
    <w:rsid w:val="009E35B4"/>
    <w:rsid w:val="009E3D6D"/>
    <w:rsid w:val="009E5801"/>
    <w:rsid w:val="009E6FBE"/>
    <w:rsid w:val="009F0E7B"/>
    <w:rsid w:val="009F2D8A"/>
    <w:rsid w:val="009F43FE"/>
    <w:rsid w:val="009F7D34"/>
    <w:rsid w:val="00A015A8"/>
    <w:rsid w:val="00A0185A"/>
    <w:rsid w:val="00A05318"/>
    <w:rsid w:val="00A05C4A"/>
    <w:rsid w:val="00A0670A"/>
    <w:rsid w:val="00A105E9"/>
    <w:rsid w:val="00A14863"/>
    <w:rsid w:val="00A15207"/>
    <w:rsid w:val="00A16610"/>
    <w:rsid w:val="00A16851"/>
    <w:rsid w:val="00A16D8C"/>
    <w:rsid w:val="00A222C7"/>
    <w:rsid w:val="00A22677"/>
    <w:rsid w:val="00A22E51"/>
    <w:rsid w:val="00A24A8D"/>
    <w:rsid w:val="00A255A6"/>
    <w:rsid w:val="00A26FE4"/>
    <w:rsid w:val="00A2723B"/>
    <w:rsid w:val="00A3121D"/>
    <w:rsid w:val="00A347BA"/>
    <w:rsid w:val="00A350F0"/>
    <w:rsid w:val="00A35FE6"/>
    <w:rsid w:val="00A36087"/>
    <w:rsid w:val="00A4564D"/>
    <w:rsid w:val="00A47051"/>
    <w:rsid w:val="00A47F0B"/>
    <w:rsid w:val="00A5180A"/>
    <w:rsid w:val="00A5256C"/>
    <w:rsid w:val="00A531B1"/>
    <w:rsid w:val="00A53714"/>
    <w:rsid w:val="00A53A36"/>
    <w:rsid w:val="00A548FE"/>
    <w:rsid w:val="00A54DC5"/>
    <w:rsid w:val="00A5766A"/>
    <w:rsid w:val="00A6227E"/>
    <w:rsid w:val="00A64E49"/>
    <w:rsid w:val="00A652D3"/>
    <w:rsid w:val="00A6582A"/>
    <w:rsid w:val="00A65971"/>
    <w:rsid w:val="00A713F2"/>
    <w:rsid w:val="00A7244B"/>
    <w:rsid w:val="00A734ED"/>
    <w:rsid w:val="00A74BB3"/>
    <w:rsid w:val="00A75276"/>
    <w:rsid w:val="00A7577D"/>
    <w:rsid w:val="00A75E7C"/>
    <w:rsid w:val="00A7719D"/>
    <w:rsid w:val="00A77C3B"/>
    <w:rsid w:val="00A81D48"/>
    <w:rsid w:val="00A84729"/>
    <w:rsid w:val="00A858CF"/>
    <w:rsid w:val="00A87E48"/>
    <w:rsid w:val="00A90858"/>
    <w:rsid w:val="00A90899"/>
    <w:rsid w:val="00A910C9"/>
    <w:rsid w:val="00A9422B"/>
    <w:rsid w:val="00A95160"/>
    <w:rsid w:val="00A96716"/>
    <w:rsid w:val="00AA4D29"/>
    <w:rsid w:val="00AA6B74"/>
    <w:rsid w:val="00AA7D8B"/>
    <w:rsid w:val="00AB1084"/>
    <w:rsid w:val="00AB3FFE"/>
    <w:rsid w:val="00AB60BB"/>
    <w:rsid w:val="00AB7578"/>
    <w:rsid w:val="00AC0193"/>
    <w:rsid w:val="00AC01B2"/>
    <w:rsid w:val="00AC16A5"/>
    <w:rsid w:val="00AC1C2B"/>
    <w:rsid w:val="00AC3B1E"/>
    <w:rsid w:val="00AC3CE9"/>
    <w:rsid w:val="00AC49E9"/>
    <w:rsid w:val="00AC73F5"/>
    <w:rsid w:val="00AC7A18"/>
    <w:rsid w:val="00AD35B6"/>
    <w:rsid w:val="00AE13E0"/>
    <w:rsid w:val="00AE1C84"/>
    <w:rsid w:val="00AE3142"/>
    <w:rsid w:val="00AE47A3"/>
    <w:rsid w:val="00AE4C8C"/>
    <w:rsid w:val="00AE738C"/>
    <w:rsid w:val="00AE778C"/>
    <w:rsid w:val="00AF16BC"/>
    <w:rsid w:val="00AF3434"/>
    <w:rsid w:val="00AF454D"/>
    <w:rsid w:val="00AF671E"/>
    <w:rsid w:val="00AF6CDD"/>
    <w:rsid w:val="00AF776C"/>
    <w:rsid w:val="00B0001D"/>
    <w:rsid w:val="00B0041C"/>
    <w:rsid w:val="00B00775"/>
    <w:rsid w:val="00B015F4"/>
    <w:rsid w:val="00B030A4"/>
    <w:rsid w:val="00B04678"/>
    <w:rsid w:val="00B07CD1"/>
    <w:rsid w:val="00B11346"/>
    <w:rsid w:val="00B113C0"/>
    <w:rsid w:val="00B12A2D"/>
    <w:rsid w:val="00B166E1"/>
    <w:rsid w:val="00B17528"/>
    <w:rsid w:val="00B20887"/>
    <w:rsid w:val="00B23995"/>
    <w:rsid w:val="00B23FC9"/>
    <w:rsid w:val="00B24B98"/>
    <w:rsid w:val="00B24C27"/>
    <w:rsid w:val="00B2644E"/>
    <w:rsid w:val="00B27105"/>
    <w:rsid w:val="00B3217B"/>
    <w:rsid w:val="00B32F47"/>
    <w:rsid w:val="00B35A3D"/>
    <w:rsid w:val="00B37E45"/>
    <w:rsid w:val="00B427AB"/>
    <w:rsid w:val="00B43E5A"/>
    <w:rsid w:val="00B45F80"/>
    <w:rsid w:val="00B4694D"/>
    <w:rsid w:val="00B46F1A"/>
    <w:rsid w:val="00B5143C"/>
    <w:rsid w:val="00B51AE8"/>
    <w:rsid w:val="00B54945"/>
    <w:rsid w:val="00B54B00"/>
    <w:rsid w:val="00B54F6E"/>
    <w:rsid w:val="00B62433"/>
    <w:rsid w:val="00B62A1F"/>
    <w:rsid w:val="00B63522"/>
    <w:rsid w:val="00B6565E"/>
    <w:rsid w:val="00B6725F"/>
    <w:rsid w:val="00B675B2"/>
    <w:rsid w:val="00B70404"/>
    <w:rsid w:val="00B74174"/>
    <w:rsid w:val="00B771D0"/>
    <w:rsid w:val="00B77F42"/>
    <w:rsid w:val="00B811B1"/>
    <w:rsid w:val="00B835BF"/>
    <w:rsid w:val="00B866E9"/>
    <w:rsid w:val="00B86A2E"/>
    <w:rsid w:val="00B93F0B"/>
    <w:rsid w:val="00B94002"/>
    <w:rsid w:val="00B96C32"/>
    <w:rsid w:val="00B972E7"/>
    <w:rsid w:val="00BA09AB"/>
    <w:rsid w:val="00BA0CFB"/>
    <w:rsid w:val="00BA16A7"/>
    <w:rsid w:val="00BA23EF"/>
    <w:rsid w:val="00BA2B80"/>
    <w:rsid w:val="00BA642C"/>
    <w:rsid w:val="00BB01ED"/>
    <w:rsid w:val="00BB0742"/>
    <w:rsid w:val="00BB0FF0"/>
    <w:rsid w:val="00BB1C11"/>
    <w:rsid w:val="00BB3E19"/>
    <w:rsid w:val="00BB44D3"/>
    <w:rsid w:val="00BB609A"/>
    <w:rsid w:val="00BC1BF0"/>
    <w:rsid w:val="00BC1FCD"/>
    <w:rsid w:val="00BC291A"/>
    <w:rsid w:val="00BC2D03"/>
    <w:rsid w:val="00BC349A"/>
    <w:rsid w:val="00BC38BA"/>
    <w:rsid w:val="00BC4165"/>
    <w:rsid w:val="00BC5F3C"/>
    <w:rsid w:val="00BD4769"/>
    <w:rsid w:val="00BD6597"/>
    <w:rsid w:val="00BD65CB"/>
    <w:rsid w:val="00BD6E3F"/>
    <w:rsid w:val="00BD7510"/>
    <w:rsid w:val="00BD7AB6"/>
    <w:rsid w:val="00BE02F3"/>
    <w:rsid w:val="00BE0D1C"/>
    <w:rsid w:val="00BE1023"/>
    <w:rsid w:val="00BE1261"/>
    <w:rsid w:val="00BE1534"/>
    <w:rsid w:val="00BE15BC"/>
    <w:rsid w:val="00BE235F"/>
    <w:rsid w:val="00BE3023"/>
    <w:rsid w:val="00BE48EB"/>
    <w:rsid w:val="00BE604E"/>
    <w:rsid w:val="00BE7327"/>
    <w:rsid w:val="00BF16BE"/>
    <w:rsid w:val="00BF4221"/>
    <w:rsid w:val="00BF454F"/>
    <w:rsid w:val="00BF5DE9"/>
    <w:rsid w:val="00BF75CA"/>
    <w:rsid w:val="00C010FF"/>
    <w:rsid w:val="00C01C04"/>
    <w:rsid w:val="00C028AD"/>
    <w:rsid w:val="00C06403"/>
    <w:rsid w:val="00C06C30"/>
    <w:rsid w:val="00C10025"/>
    <w:rsid w:val="00C1021F"/>
    <w:rsid w:val="00C10386"/>
    <w:rsid w:val="00C1139B"/>
    <w:rsid w:val="00C13A50"/>
    <w:rsid w:val="00C15073"/>
    <w:rsid w:val="00C16BB9"/>
    <w:rsid w:val="00C20297"/>
    <w:rsid w:val="00C213C4"/>
    <w:rsid w:val="00C242CA"/>
    <w:rsid w:val="00C2435A"/>
    <w:rsid w:val="00C24C6E"/>
    <w:rsid w:val="00C25FA3"/>
    <w:rsid w:val="00C2687F"/>
    <w:rsid w:val="00C271EC"/>
    <w:rsid w:val="00C27556"/>
    <w:rsid w:val="00C30292"/>
    <w:rsid w:val="00C305AE"/>
    <w:rsid w:val="00C32EF7"/>
    <w:rsid w:val="00C37CC1"/>
    <w:rsid w:val="00C412EA"/>
    <w:rsid w:val="00C424F4"/>
    <w:rsid w:val="00C4377C"/>
    <w:rsid w:val="00C50A2E"/>
    <w:rsid w:val="00C51922"/>
    <w:rsid w:val="00C523B7"/>
    <w:rsid w:val="00C5464B"/>
    <w:rsid w:val="00C54878"/>
    <w:rsid w:val="00C5506D"/>
    <w:rsid w:val="00C562AF"/>
    <w:rsid w:val="00C565FD"/>
    <w:rsid w:val="00C601EF"/>
    <w:rsid w:val="00C63681"/>
    <w:rsid w:val="00C649FB"/>
    <w:rsid w:val="00C71352"/>
    <w:rsid w:val="00C716F2"/>
    <w:rsid w:val="00C71740"/>
    <w:rsid w:val="00C719AA"/>
    <w:rsid w:val="00C72778"/>
    <w:rsid w:val="00C7511F"/>
    <w:rsid w:val="00C75697"/>
    <w:rsid w:val="00C75C3B"/>
    <w:rsid w:val="00C772BB"/>
    <w:rsid w:val="00C82B35"/>
    <w:rsid w:val="00C832E0"/>
    <w:rsid w:val="00C84975"/>
    <w:rsid w:val="00C84D15"/>
    <w:rsid w:val="00C86B61"/>
    <w:rsid w:val="00C870B1"/>
    <w:rsid w:val="00C91CE0"/>
    <w:rsid w:val="00C92025"/>
    <w:rsid w:val="00C95141"/>
    <w:rsid w:val="00C96518"/>
    <w:rsid w:val="00C96AE1"/>
    <w:rsid w:val="00CA0F16"/>
    <w:rsid w:val="00CA33A6"/>
    <w:rsid w:val="00CA38EB"/>
    <w:rsid w:val="00CA569F"/>
    <w:rsid w:val="00CA73DC"/>
    <w:rsid w:val="00CA7F26"/>
    <w:rsid w:val="00CB145E"/>
    <w:rsid w:val="00CB264B"/>
    <w:rsid w:val="00CB2BAD"/>
    <w:rsid w:val="00CB2DAC"/>
    <w:rsid w:val="00CB63E6"/>
    <w:rsid w:val="00CC0A09"/>
    <w:rsid w:val="00CC328E"/>
    <w:rsid w:val="00CC73C7"/>
    <w:rsid w:val="00CC7DFE"/>
    <w:rsid w:val="00CC7E20"/>
    <w:rsid w:val="00CD3F09"/>
    <w:rsid w:val="00CD6DCE"/>
    <w:rsid w:val="00CE215F"/>
    <w:rsid w:val="00CE2889"/>
    <w:rsid w:val="00CF00E8"/>
    <w:rsid w:val="00CF0FC7"/>
    <w:rsid w:val="00CF1C48"/>
    <w:rsid w:val="00CF34B1"/>
    <w:rsid w:val="00CF76B4"/>
    <w:rsid w:val="00D0135F"/>
    <w:rsid w:val="00D06194"/>
    <w:rsid w:val="00D0665C"/>
    <w:rsid w:val="00D10835"/>
    <w:rsid w:val="00D117DF"/>
    <w:rsid w:val="00D12214"/>
    <w:rsid w:val="00D12698"/>
    <w:rsid w:val="00D12ED3"/>
    <w:rsid w:val="00D143CC"/>
    <w:rsid w:val="00D15116"/>
    <w:rsid w:val="00D1563C"/>
    <w:rsid w:val="00D156FC"/>
    <w:rsid w:val="00D17BA1"/>
    <w:rsid w:val="00D22F45"/>
    <w:rsid w:val="00D26C63"/>
    <w:rsid w:val="00D30615"/>
    <w:rsid w:val="00D30A2B"/>
    <w:rsid w:val="00D30ACF"/>
    <w:rsid w:val="00D31AD3"/>
    <w:rsid w:val="00D32653"/>
    <w:rsid w:val="00D32775"/>
    <w:rsid w:val="00D34D3F"/>
    <w:rsid w:val="00D353AD"/>
    <w:rsid w:val="00D36537"/>
    <w:rsid w:val="00D371F7"/>
    <w:rsid w:val="00D4166B"/>
    <w:rsid w:val="00D421D5"/>
    <w:rsid w:val="00D4484B"/>
    <w:rsid w:val="00D45CE0"/>
    <w:rsid w:val="00D461A2"/>
    <w:rsid w:val="00D465DE"/>
    <w:rsid w:val="00D475C3"/>
    <w:rsid w:val="00D50E98"/>
    <w:rsid w:val="00D50E99"/>
    <w:rsid w:val="00D51F01"/>
    <w:rsid w:val="00D5496C"/>
    <w:rsid w:val="00D5553C"/>
    <w:rsid w:val="00D571E2"/>
    <w:rsid w:val="00D608EE"/>
    <w:rsid w:val="00D65966"/>
    <w:rsid w:val="00D66E5E"/>
    <w:rsid w:val="00D67918"/>
    <w:rsid w:val="00D7177D"/>
    <w:rsid w:val="00D815B7"/>
    <w:rsid w:val="00D86172"/>
    <w:rsid w:val="00D90AA3"/>
    <w:rsid w:val="00D91012"/>
    <w:rsid w:val="00D95802"/>
    <w:rsid w:val="00D97229"/>
    <w:rsid w:val="00DA0880"/>
    <w:rsid w:val="00DA1D66"/>
    <w:rsid w:val="00DA3169"/>
    <w:rsid w:val="00DA3C9E"/>
    <w:rsid w:val="00DA45A5"/>
    <w:rsid w:val="00DA4BB6"/>
    <w:rsid w:val="00DA553D"/>
    <w:rsid w:val="00DA6F7A"/>
    <w:rsid w:val="00DA713B"/>
    <w:rsid w:val="00DB0181"/>
    <w:rsid w:val="00DB02E1"/>
    <w:rsid w:val="00DB1913"/>
    <w:rsid w:val="00DB68B8"/>
    <w:rsid w:val="00DC054F"/>
    <w:rsid w:val="00DC10D2"/>
    <w:rsid w:val="00DC18AD"/>
    <w:rsid w:val="00DC28FC"/>
    <w:rsid w:val="00DC2A24"/>
    <w:rsid w:val="00DC4654"/>
    <w:rsid w:val="00DC4D3F"/>
    <w:rsid w:val="00DC6216"/>
    <w:rsid w:val="00DD057D"/>
    <w:rsid w:val="00DD2878"/>
    <w:rsid w:val="00DD2A70"/>
    <w:rsid w:val="00DD4020"/>
    <w:rsid w:val="00DD498C"/>
    <w:rsid w:val="00DD4E96"/>
    <w:rsid w:val="00DD5598"/>
    <w:rsid w:val="00DD55AB"/>
    <w:rsid w:val="00DD7751"/>
    <w:rsid w:val="00DE04D5"/>
    <w:rsid w:val="00DE08AB"/>
    <w:rsid w:val="00DE1BA5"/>
    <w:rsid w:val="00DE3063"/>
    <w:rsid w:val="00DE3389"/>
    <w:rsid w:val="00DE33E3"/>
    <w:rsid w:val="00DE3A9E"/>
    <w:rsid w:val="00DE3F18"/>
    <w:rsid w:val="00DE49A6"/>
    <w:rsid w:val="00DE631F"/>
    <w:rsid w:val="00DE73E1"/>
    <w:rsid w:val="00DE7E0A"/>
    <w:rsid w:val="00DF1B9E"/>
    <w:rsid w:val="00DF1EAE"/>
    <w:rsid w:val="00DF2187"/>
    <w:rsid w:val="00DF5BC1"/>
    <w:rsid w:val="00DF5C43"/>
    <w:rsid w:val="00DF78F8"/>
    <w:rsid w:val="00E02DFD"/>
    <w:rsid w:val="00E02E19"/>
    <w:rsid w:val="00E030B4"/>
    <w:rsid w:val="00E03E32"/>
    <w:rsid w:val="00E05D16"/>
    <w:rsid w:val="00E10397"/>
    <w:rsid w:val="00E103E9"/>
    <w:rsid w:val="00E10702"/>
    <w:rsid w:val="00E107E2"/>
    <w:rsid w:val="00E109CC"/>
    <w:rsid w:val="00E10B9C"/>
    <w:rsid w:val="00E11DB7"/>
    <w:rsid w:val="00E13118"/>
    <w:rsid w:val="00E13C3F"/>
    <w:rsid w:val="00E13FDD"/>
    <w:rsid w:val="00E14E22"/>
    <w:rsid w:val="00E15C32"/>
    <w:rsid w:val="00E1694B"/>
    <w:rsid w:val="00E25011"/>
    <w:rsid w:val="00E25B33"/>
    <w:rsid w:val="00E305AC"/>
    <w:rsid w:val="00E311B9"/>
    <w:rsid w:val="00E316A5"/>
    <w:rsid w:val="00E31713"/>
    <w:rsid w:val="00E31E0F"/>
    <w:rsid w:val="00E32188"/>
    <w:rsid w:val="00E335B3"/>
    <w:rsid w:val="00E349C6"/>
    <w:rsid w:val="00E34EAD"/>
    <w:rsid w:val="00E378BA"/>
    <w:rsid w:val="00E413A7"/>
    <w:rsid w:val="00E4203F"/>
    <w:rsid w:val="00E42E4A"/>
    <w:rsid w:val="00E42FC9"/>
    <w:rsid w:val="00E4544B"/>
    <w:rsid w:val="00E50022"/>
    <w:rsid w:val="00E50054"/>
    <w:rsid w:val="00E50244"/>
    <w:rsid w:val="00E528A6"/>
    <w:rsid w:val="00E52DFD"/>
    <w:rsid w:val="00E53772"/>
    <w:rsid w:val="00E54D34"/>
    <w:rsid w:val="00E563B1"/>
    <w:rsid w:val="00E570D2"/>
    <w:rsid w:val="00E6124D"/>
    <w:rsid w:val="00E62D7C"/>
    <w:rsid w:val="00E63A32"/>
    <w:rsid w:val="00E654BE"/>
    <w:rsid w:val="00E67A57"/>
    <w:rsid w:val="00E67F62"/>
    <w:rsid w:val="00E70531"/>
    <w:rsid w:val="00E70695"/>
    <w:rsid w:val="00E71998"/>
    <w:rsid w:val="00E71D39"/>
    <w:rsid w:val="00E7416B"/>
    <w:rsid w:val="00E7470B"/>
    <w:rsid w:val="00E7519A"/>
    <w:rsid w:val="00E822CA"/>
    <w:rsid w:val="00E832D9"/>
    <w:rsid w:val="00E84014"/>
    <w:rsid w:val="00E86A74"/>
    <w:rsid w:val="00E86D3B"/>
    <w:rsid w:val="00E90E6D"/>
    <w:rsid w:val="00E912BC"/>
    <w:rsid w:val="00E92CCF"/>
    <w:rsid w:val="00E93158"/>
    <w:rsid w:val="00E93537"/>
    <w:rsid w:val="00E97343"/>
    <w:rsid w:val="00E97FFE"/>
    <w:rsid w:val="00EA0503"/>
    <w:rsid w:val="00EA0970"/>
    <w:rsid w:val="00EA2181"/>
    <w:rsid w:val="00EA3261"/>
    <w:rsid w:val="00EA33FF"/>
    <w:rsid w:val="00EA4691"/>
    <w:rsid w:val="00EA52A7"/>
    <w:rsid w:val="00EB1A74"/>
    <w:rsid w:val="00EB22B5"/>
    <w:rsid w:val="00EB2E10"/>
    <w:rsid w:val="00EC07F3"/>
    <w:rsid w:val="00EC3CC7"/>
    <w:rsid w:val="00EC3EC4"/>
    <w:rsid w:val="00ED0B2C"/>
    <w:rsid w:val="00ED13A0"/>
    <w:rsid w:val="00ED1F6B"/>
    <w:rsid w:val="00ED25B0"/>
    <w:rsid w:val="00ED286B"/>
    <w:rsid w:val="00ED3EB5"/>
    <w:rsid w:val="00ED6206"/>
    <w:rsid w:val="00ED75D7"/>
    <w:rsid w:val="00ED7980"/>
    <w:rsid w:val="00EE31EF"/>
    <w:rsid w:val="00EE3406"/>
    <w:rsid w:val="00EE3972"/>
    <w:rsid w:val="00EE3E00"/>
    <w:rsid w:val="00EE63DF"/>
    <w:rsid w:val="00EE6962"/>
    <w:rsid w:val="00EF3DAD"/>
    <w:rsid w:val="00EF3E78"/>
    <w:rsid w:val="00EF582C"/>
    <w:rsid w:val="00EF6B4D"/>
    <w:rsid w:val="00EF7AD3"/>
    <w:rsid w:val="00F00694"/>
    <w:rsid w:val="00F02EA3"/>
    <w:rsid w:val="00F03F46"/>
    <w:rsid w:val="00F04340"/>
    <w:rsid w:val="00F06A10"/>
    <w:rsid w:val="00F06C79"/>
    <w:rsid w:val="00F0726A"/>
    <w:rsid w:val="00F16404"/>
    <w:rsid w:val="00F164F1"/>
    <w:rsid w:val="00F211D2"/>
    <w:rsid w:val="00F21A03"/>
    <w:rsid w:val="00F2437B"/>
    <w:rsid w:val="00F267CE"/>
    <w:rsid w:val="00F30079"/>
    <w:rsid w:val="00F32A58"/>
    <w:rsid w:val="00F3490E"/>
    <w:rsid w:val="00F434A4"/>
    <w:rsid w:val="00F439B3"/>
    <w:rsid w:val="00F44505"/>
    <w:rsid w:val="00F44DD4"/>
    <w:rsid w:val="00F46BBB"/>
    <w:rsid w:val="00F47DDE"/>
    <w:rsid w:val="00F525FC"/>
    <w:rsid w:val="00F52698"/>
    <w:rsid w:val="00F52913"/>
    <w:rsid w:val="00F5362B"/>
    <w:rsid w:val="00F6014B"/>
    <w:rsid w:val="00F64509"/>
    <w:rsid w:val="00F6753E"/>
    <w:rsid w:val="00F700ED"/>
    <w:rsid w:val="00F732FE"/>
    <w:rsid w:val="00F73ACE"/>
    <w:rsid w:val="00F779CF"/>
    <w:rsid w:val="00F805F6"/>
    <w:rsid w:val="00F82B2C"/>
    <w:rsid w:val="00F85455"/>
    <w:rsid w:val="00F855BD"/>
    <w:rsid w:val="00F85AF9"/>
    <w:rsid w:val="00F85BD4"/>
    <w:rsid w:val="00F906F9"/>
    <w:rsid w:val="00F90C2B"/>
    <w:rsid w:val="00F93841"/>
    <w:rsid w:val="00F93865"/>
    <w:rsid w:val="00F93980"/>
    <w:rsid w:val="00F940A9"/>
    <w:rsid w:val="00F953E8"/>
    <w:rsid w:val="00F95BA0"/>
    <w:rsid w:val="00F95C81"/>
    <w:rsid w:val="00F977AF"/>
    <w:rsid w:val="00F97ADC"/>
    <w:rsid w:val="00FA0753"/>
    <w:rsid w:val="00FA114E"/>
    <w:rsid w:val="00FA156F"/>
    <w:rsid w:val="00FA437B"/>
    <w:rsid w:val="00FA4D8D"/>
    <w:rsid w:val="00FA6187"/>
    <w:rsid w:val="00FB077E"/>
    <w:rsid w:val="00FB15EE"/>
    <w:rsid w:val="00FB1719"/>
    <w:rsid w:val="00FB3CF6"/>
    <w:rsid w:val="00FB3E14"/>
    <w:rsid w:val="00FB41AB"/>
    <w:rsid w:val="00FB553B"/>
    <w:rsid w:val="00FB6980"/>
    <w:rsid w:val="00FC00DB"/>
    <w:rsid w:val="00FC3D6D"/>
    <w:rsid w:val="00FC3DF3"/>
    <w:rsid w:val="00FC4290"/>
    <w:rsid w:val="00FC4B18"/>
    <w:rsid w:val="00FC5D4B"/>
    <w:rsid w:val="00FC66A4"/>
    <w:rsid w:val="00FC7761"/>
    <w:rsid w:val="00FC7D32"/>
    <w:rsid w:val="00FD3CB0"/>
    <w:rsid w:val="00FD547E"/>
    <w:rsid w:val="00FD6BFB"/>
    <w:rsid w:val="00FD7A5E"/>
    <w:rsid w:val="00FD7B48"/>
    <w:rsid w:val="00FE087E"/>
    <w:rsid w:val="00FE1D9C"/>
    <w:rsid w:val="00FE2D19"/>
    <w:rsid w:val="00FE311E"/>
    <w:rsid w:val="00FE4F73"/>
    <w:rsid w:val="00FE56C6"/>
    <w:rsid w:val="00FF0ABD"/>
    <w:rsid w:val="00FF11B4"/>
    <w:rsid w:val="00FF130E"/>
    <w:rsid w:val="00FF26C4"/>
    <w:rsid w:val="00FF5D1A"/>
    <w:rsid w:val="016D6C9D"/>
    <w:rsid w:val="02423C4A"/>
    <w:rsid w:val="05A33817"/>
    <w:rsid w:val="075F25B9"/>
    <w:rsid w:val="09057539"/>
    <w:rsid w:val="090E3D88"/>
    <w:rsid w:val="0AF16B93"/>
    <w:rsid w:val="0B370FE0"/>
    <w:rsid w:val="0BAA5EE3"/>
    <w:rsid w:val="0C5A1BA2"/>
    <w:rsid w:val="0F6021B1"/>
    <w:rsid w:val="100A29AA"/>
    <w:rsid w:val="11621738"/>
    <w:rsid w:val="133B4C77"/>
    <w:rsid w:val="14D021CE"/>
    <w:rsid w:val="16054AC4"/>
    <w:rsid w:val="169A459B"/>
    <w:rsid w:val="18591ECF"/>
    <w:rsid w:val="18822A00"/>
    <w:rsid w:val="188D3FF7"/>
    <w:rsid w:val="190B692E"/>
    <w:rsid w:val="19A67A04"/>
    <w:rsid w:val="1A805517"/>
    <w:rsid w:val="1AE54448"/>
    <w:rsid w:val="1C1E0C92"/>
    <w:rsid w:val="1C744D1F"/>
    <w:rsid w:val="1E1255FD"/>
    <w:rsid w:val="1E8C4AEA"/>
    <w:rsid w:val="1E964850"/>
    <w:rsid w:val="1EBC65FF"/>
    <w:rsid w:val="202763E9"/>
    <w:rsid w:val="209179EB"/>
    <w:rsid w:val="239F090A"/>
    <w:rsid w:val="243127BF"/>
    <w:rsid w:val="24343D06"/>
    <w:rsid w:val="264609F7"/>
    <w:rsid w:val="27DD379D"/>
    <w:rsid w:val="29BB0296"/>
    <w:rsid w:val="2C3D68B2"/>
    <w:rsid w:val="2CF1350E"/>
    <w:rsid w:val="2F8F4027"/>
    <w:rsid w:val="3207632D"/>
    <w:rsid w:val="325F0968"/>
    <w:rsid w:val="333A0734"/>
    <w:rsid w:val="348C661D"/>
    <w:rsid w:val="350C0579"/>
    <w:rsid w:val="355C665B"/>
    <w:rsid w:val="37DC3FCD"/>
    <w:rsid w:val="39757851"/>
    <w:rsid w:val="3A29714C"/>
    <w:rsid w:val="3A834553"/>
    <w:rsid w:val="3BE14825"/>
    <w:rsid w:val="3D3305EA"/>
    <w:rsid w:val="3D533040"/>
    <w:rsid w:val="3D89505D"/>
    <w:rsid w:val="3FBD419A"/>
    <w:rsid w:val="40BF4E8F"/>
    <w:rsid w:val="414D154E"/>
    <w:rsid w:val="41E97991"/>
    <w:rsid w:val="425D5F62"/>
    <w:rsid w:val="42813BA5"/>
    <w:rsid w:val="42DA4465"/>
    <w:rsid w:val="436858D8"/>
    <w:rsid w:val="43EF51CB"/>
    <w:rsid w:val="44641FCE"/>
    <w:rsid w:val="45C417A5"/>
    <w:rsid w:val="46A64B26"/>
    <w:rsid w:val="46D83A24"/>
    <w:rsid w:val="4961718C"/>
    <w:rsid w:val="49A14B2D"/>
    <w:rsid w:val="4A5C7F1F"/>
    <w:rsid w:val="4A8305F8"/>
    <w:rsid w:val="4BDA3A27"/>
    <w:rsid w:val="4D4952BF"/>
    <w:rsid w:val="4F92096A"/>
    <w:rsid w:val="512D3D83"/>
    <w:rsid w:val="51406696"/>
    <w:rsid w:val="53481D75"/>
    <w:rsid w:val="54BA4CF5"/>
    <w:rsid w:val="56737570"/>
    <w:rsid w:val="597F03EE"/>
    <w:rsid w:val="59F9707D"/>
    <w:rsid w:val="5BCC1EFD"/>
    <w:rsid w:val="5C604C77"/>
    <w:rsid w:val="5CAD2146"/>
    <w:rsid w:val="5CB52971"/>
    <w:rsid w:val="5E6C31A4"/>
    <w:rsid w:val="5E763BC3"/>
    <w:rsid w:val="60741B5C"/>
    <w:rsid w:val="611F6193"/>
    <w:rsid w:val="617862D8"/>
    <w:rsid w:val="61DF9474"/>
    <w:rsid w:val="6208709F"/>
    <w:rsid w:val="63163A3E"/>
    <w:rsid w:val="65754235"/>
    <w:rsid w:val="65AF4DE1"/>
    <w:rsid w:val="65D16CB4"/>
    <w:rsid w:val="65DA6FA5"/>
    <w:rsid w:val="680F3E73"/>
    <w:rsid w:val="692B080F"/>
    <w:rsid w:val="696851DD"/>
    <w:rsid w:val="6A4F7475"/>
    <w:rsid w:val="6ACE47F9"/>
    <w:rsid w:val="6ADF0BB9"/>
    <w:rsid w:val="6D720CA0"/>
    <w:rsid w:val="6D9B21CC"/>
    <w:rsid w:val="6F8138D0"/>
    <w:rsid w:val="6F926A40"/>
    <w:rsid w:val="7054296B"/>
    <w:rsid w:val="707F2C23"/>
    <w:rsid w:val="70F353BF"/>
    <w:rsid w:val="71D25EF0"/>
    <w:rsid w:val="721A73BD"/>
    <w:rsid w:val="7223531E"/>
    <w:rsid w:val="72BA2021"/>
    <w:rsid w:val="7393160F"/>
    <w:rsid w:val="74582A3C"/>
    <w:rsid w:val="748E6946"/>
    <w:rsid w:val="762C770B"/>
    <w:rsid w:val="76D57A40"/>
    <w:rsid w:val="7736796A"/>
    <w:rsid w:val="77A318EC"/>
    <w:rsid w:val="77B46AF2"/>
    <w:rsid w:val="7C507B69"/>
    <w:rsid w:val="7CA27F89"/>
    <w:rsid w:val="7CA47311"/>
    <w:rsid w:val="7CCC470D"/>
    <w:rsid w:val="7CEA3B1A"/>
    <w:rsid w:val="7D4C385F"/>
    <w:rsid w:val="7D6C09D3"/>
    <w:rsid w:val="7EBC6D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qFormat="1"/>
    <w:lsdException w:name="annotation text" w:semiHidden="0" w:uiPriority="0" w:unhideWhenUsed="0"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qFormat="1"/>
    <w:lsdException w:name="Body Text Indent 2"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spacing w:line="360" w:lineRule="auto"/>
      <w:ind w:firstLineChars="200" w:firstLine="482"/>
      <w:outlineLvl w:val="0"/>
    </w:pPr>
    <w:rPr>
      <w:rFonts w:asciiTheme="minorEastAsia" w:hAnsiTheme="minorEastAsia"/>
      <w:b/>
      <w:sz w:val="24"/>
      <w:szCs w:val="24"/>
    </w:rPr>
  </w:style>
  <w:style w:type="paragraph" w:styleId="20">
    <w:name w:val="heading 2"/>
    <w:basedOn w:val="a"/>
    <w:next w:val="a"/>
    <w:link w:val="2Char"/>
    <w:qFormat/>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Normal Indent"/>
    <w:basedOn w:val="a"/>
    <w:qFormat/>
    <w:pPr>
      <w:ind w:firstLine="420"/>
    </w:pPr>
    <w:rPr>
      <w:rFonts w:ascii="Times New Roman" w:eastAsia="宋体" w:hAnsi="Times New Roman" w:cs="Times New Roman"/>
      <w:szCs w:val="20"/>
    </w:rPr>
  </w:style>
  <w:style w:type="paragraph" w:styleId="a5">
    <w:name w:val="annotation text"/>
    <w:basedOn w:val="a"/>
    <w:link w:val="Char"/>
    <w:qFormat/>
    <w:pPr>
      <w:jc w:val="left"/>
    </w:pPr>
    <w:rPr>
      <w:szCs w:val="24"/>
    </w:rPr>
  </w:style>
  <w:style w:type="paragraph" w:styleId="a6">
    <w:name w:val="Date"/>
    <w:basedOn w:val="a"/>
    <w:next w:val="a"/>
    <w:link w:val="Char0"/>
    <w:uiPriority w:val="99"/>
    <w:semiHidden/>
    <w:unhideWhenUsed/>
    <w:qFormat/>
    <w:pPr>
      <w:ind w:leftChars="2500" w:left="100"/>
    </w:pPr>
  </w:style>
  <w:style w:type="paragraph" w:styleId="21">
    <w:name w:val="Body Text Indent 2"/>
    <w:basedOn w:val="a"/>
    <w:link w:val="2Char0"/>
    <w:qFormat/>
    <w:pPr>
      <w:spacing w:after="120" w:line="480" w:lineRule="auto"/>
      <w:ind w:leftChars="200" w:left="420"/>
    </w:pPr>
    <w:rPr>
      <w:szCs w:val="24"/>
    </w:rPr>
  </w:style>
  <w:style w:type="paragraph" w:styleId="a7">
    <w:name w:val="Balloon Text"/>
    <w:basedOn w:val="a"/>
    <w:link w:val="Char1"/>
    <w:uiPriority w:val="99"/>
    <w:semiHidden/>
    <w:unhideWhenUsed/>
    <w:qFormat/>
    <w:rPr>
      <w:sz w:val="18"/>
      <w:szCs w:val="18"/>
    </w:rPr>
  </w:style>
  <w:style w:type="paragraph" w:styleId="a8">
    <w:name w:val="footer"/>
    <w:basedOn w:val="a"/>
    <w:link w:val="Char2"/>
    <w:uiPriority w:val="99"/>
    <w:unhideWhenUsed/>
    <w:qFormat/>
    <w:pPr>
      <w:tabs>
        <w:tab w:val="center" w:pos="4153"/>
        <w:tab w:val="right" w:pos="8306"/>
      </w:tabs>
      <w:snapToGrid w:val="0"/>
      <w:jc w:val="left"/>
    </w:pPr>
    <w:rPr>
      <w:sz w:val="18"/>
      <w:szCs w:val="18"/>
    </w:rPr>
  </w:style>
  <w:style w:type="paragraph" w:styleId="a9">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aa">
    <w:name w:val="footnote text"/>
    <w:basedOn w:val="a"/>
    <w:link w:val="Char4"/>
    <w:uiPriority w:val="99"/>
    <w:semiHidden/>
    <w:unhideWhenUsed/>
    <w:qFormat/>
    <w:pPr>
      <w:snapToGrid w:val="0"/>
      <w:jc w:val="left"/>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Char5"/>
    <w:qFormat/>
    <w:pPr>
      <w:spacing w:before="240" w:after="60"/>
      <w:jc w:val="center"/>
      <w:outlineLvl w:val="0"/>
    </w:pPr>
    <w:rPr>
      <w:rFonts w:ascii="Cambria" w:hAnsi="Cambria"/>
      <w:b/>
      <w:bCs/>
      <w:sz w:val="32"/>
      <w:szCs w:val="32"/>
    </w:rPr>
  </w:style>
  <w:style w:type="paragraph" w:styleId="ad">
    <w:name w:val="annotation subject"/>
    <w:basedOn w:val="a5"/>
    <w:next w:val="a5"/>
    <w:link w:val="Char6"/>
    <w:uiPriority w:val="99"/>
    <w:semiHidden/>
    <w:unhideWhenUsed/>
    <w:qFormat/>
    <w:rPr>
      <w:b/>
      <w:bCs/>
      <w:szCs w:val="22"/>
    </w:rPr>
  </w:style>
  <w:style w:type="table" w:styleId="ae">
    <w:name w:val="Table Grid"/>
    <w:basedOn w:val="a2"/>
    <w:uiPriority w:val="3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
    <w:name w:val="FollowedHyperlink"/>
    <w:basedOn w:val="a1"/>
    <w:uiPriority w:val="99"/>
    <w:semiHidden/>
    <w:unhideWhenUsed/>
    <w:qFormat/>
    <w:rPr>
      <w:color w:val="800080" w:themeColor="followedHyperlink"/>
      <w:u w:val="single"/>
    </w:rPr>
  </w:style>
  <w:style w:type="character" w:styleId="af0">
    <w:name w:val="Hyperlink"/>
    <w:basedOn w:val="a1"/>
    <w:uiPriority w:val="99"/>
    <w:unhideWhenUsed/>
    <w:qFormat/>
    <w:rPr>
      <w:color w:val="0000FF" w:themeColor="hyperlink"/>
      <w:u w:val="single"/>
    </w:rPr>
  </w:style>
  <w:style w:type="character" w:styleId="af1">
    <w:name w:val="annotation reference"/>
    <w:basedOn w:val="a1"/>
    <w:uiPriority w:val="99"/>
    <w:semiHidden/>
    <w:unhideWhenUsed/>
    <w:qFormat/>
    <w:rPr>
      <w:sz w:val="21"/>
      <w:szCs w:val="21"/>
    </w:rPr>
  </w:style>
  <w:style w:type="character" w:styleId="af2">
    <w:name w:val="footnote reference"/>
    <w:basedOn w:val="a1"/>
    <w:uiPriority w:val="99"/>
    <w:semiHidden/>
    <w:unhideWhenUsed/>
    <w:qFormat/>
    <w:rPr>
      <w:vertAlign w:val="superscript"/>
    </w:rPr>
  </w:style>
  <w:style w:type="character" w:customStyle="1" w:styleId="Char3">
    <w:name w:val="页眉 Char"/>
    <w:basedOn w:val="a1"/>
    <w:link w:val="a9"/>
    <w:uiPriority w:val="99"/>
    <w:qFormat/>
    <w:rPr>
      <w:sz w:val="18"/>
      <w:szCs w:val="18"/>
    </w:rPr>
  </w:style>
  <w:style w:type="character" w:customStyle="1" w:styleId="Char2">
    <w:name w:val="页脚 Char"/>
    <w:basedOn w:val="a1"/>
    <w:link w:val="a8"/>
    <w:uiPriority w:val="99"/>
    <w:qFormat/>
    <w:rPr>
      <w:sz w:val="18"/>
      <w:szCs w:val="18"/>
    </w:rPr>
  </w:style>
  <w:style w:type="character" w:customStyle="1" w:styleId="2Char0">
    <w:name w:val="正文文本缩进 2 Char"/>
    <w:basedOn w:val="a1"/>
    <w:link w:val="21"/>
    <w:qFormat/>
    <w:rPr>
      <w:szCs w:val="24"/>
    </w:rPr>
  </w:style>
  <w:style w:type="character" w:customStyle="1" w:styleId="Char5">
    <w:name w:val="标题 Char"/>
    <w:basedOn w:val="a1"/>
    <w:link w:val="ac"/>
    <w:qFormat/>
    <w:rPr>
      <w:rFonts w:ascii="Cambria" w:hAnsi="Cambria"/>
      <w:b/>
      <w:bCs/>
      <w:sz w:val="32"/>
      <w:szCs w:val="32"/>
    </w:rPr>
  </w:style>
  <w:style w:type="character" w:customStyle="1" w:styleId="Char">
    <w:name w:val="批注文字 Char"/>
    <w:basedOn w:val="a1"/>
    <w:link w:val="a5"/>
    <w:qFormat/>
    <w:rPr>
      <w:szCs w:val="24"/>
    </w:rPr>
  </w:style>
  <w:style w:type="paragraph" w:styleId="af3">
    <w:name w:val="List Paragraph"/>
    <w:basedOn w:val="a"/>
    <w:uiPriority w:val="34"/>
    <w:qFormat/>
    <w:pPr>
      <w:ind w:firstLineChars="200" w:firstLine="420"/>
    </w:pPr>
  </w:style>
  <w:style w:type="character" w:customStyle="1" w:styleId="Char0">
    <w:name w:val="日期 Char"/>
    <w:basedOn w:val="a1"/>
    <w:link w:val="a6"/>
    <w:uiPriority w:val="99"/>
    <w:semiHidden/>
    <w:qFormat/>
  </w:style>
  <w:style w:type="character" w:customStyle="1" w:styleId="1Char">
    <w:name w:val="标题 1 Char"/>
    <w:basedOn w:val="a1"/>
    <w:link w:val="1"/>
    <w:uiPriority w:val="9"/>
    <w:qFormat/>
    <w:rPr>
      <w:rFonts w:asciiTheme="minorEastAsia" w:hAnsiTheme="minorEastAsia"/>
      <w:b/>
      <w:sz w:val="24"/>
      <w:szCs w:val="24"/>
    </w:rPr>
  </w:style>
  <w:style w:type="paragraph" w:customStyle="1" w:styleId="TOC1">
    <w:name w:val="TOC 标题1"/>
    <w:basedOn w:val="1"/>
    <w:next w:val="a"/>
    <w:uiPriority w:val="39"/>
    <w:semiHidden/>
    <w:unhideWhenUsed/>
    <w:qFormat/>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
    <w:name w:val="批注框文本 Char"/>
    <w:basedOn w:val="a1"/>
    <w:link w:val="a7"/>
    <w:uiPriority w:val="99"/>
    <w:semiHidden/>
    <w:qFormat/>
    <w:rPr>
      <w:sz w:val="18"/>
      <w:szCs w:val="18"/>
    </w:rPr>
  </w:style>
  <w:style w:type="paragraph" w:styleId="af4">
    <w:name w:val="No Spacing"/>
    <w:link w:val="Char7"/>
    <w:uiPriority w:val="1"/>
    <w:qFormat/>
    <w:rPr>
      <w:rFonts w:asciiTheme="minorHAnsi" w:eastAsiaTheme="minorEastAsia" w:hAnsiTheme="minorHAnsi" w:cstheme="minorBidi"/>
      <w:sz w:val="22"/>
      <w:szCs w:val="22"/>
    </w:rPr>
  </w:style>
  <w:style w:type="character" w:customStyle="1" w:styleId="Char7">
    <w:name w:val="无间隔 Char"/>
    <w:basedOn w:val="a1"/>
    <w:link w:val="af4"/>
    <w:uiPriority w:val="1"/>
    <w:qFormat/>
    <w:rPr>
      <w:kern w:val="0"/>
      <w:sz w:val="22"/>
    </w:rPr>
  </w:style>
  <w:style w:type="character" w:customStyle="1" w:styleId="2Char">
    <w:name w:val="标题 2 Char"/>
    <w:basedOn w:val="a1"/>
    <w:link w:val="20"/>
    <w:qFormat/>
    <w:rPr>
      <w:rFonts w:ascii="Arial" w:eastAsia="黑体" w:hAnsi="Arial" w:cs="Times New Roman"/>
      <w:b/>
      <w:bCs/>
      <w:sz w:val="32"/>
      <w:szCs w:val="32"/>
    </w:rPr>
  </w:style>
  <w:style w:type="paragraph" w:customStyle="1" w:styleId="Char8">
    <w:name w:val="Char"/>
    <w:basedOn w:val="a"/>
    <w:qFormat/>
    <w:rPr>
      <w:rFonts w:ascii="宋体" w:eastAsia="宋体" w:hAnsi="宋体" w:cs="Courier New"/>
      <w:sz w:val="32"/>
      <w:szCs w:val="32"/>
    </w:rPr>
  </w:style>
  <w:style w:type="paragraph" w:customStyle="1" w:styleId="af5">
    <w:name w:val="章"/>
    <w:basedOn w:val="a"/>
    <w:next w:val="a"/>
    <w:qFormat/>
    <w:pPr>
      <w:tabs>
        <w:tab w:val="left" w:pos="750"/>
      </w:tabs>
      <w:adjustRightInd w:val="0"/>
      <w:spacing w:before="160" w:after="160"/>
      <w:ind w:left="750" w:hanging="750"/>
      <w:outlineLvl w:val="0"/>
    </w:pPr>
    <w:rPr>
      <w:rFonts w:ascii="黑体" w:eastAsia="黑体" w:hAnsi="Times New Roman" w:cs="Times New Roman"/>
      <w:kern w:val="21"/>
      <w:szCs w:val="20"/>
    </w:rPr>
  </w:style>
  <w:style w:type="paragraph" w:customStyle="1" w:styleId="2">
    <w:name w:val="条2"/>
    <w:basedOn w:val="a"/>
    <w:next w:val="a"/>
    <w:qFormat/>
    <w:pPr>
      <w:numPr>
        <w:ilvl w:val="2"/>
        <w:numId w:val="1"/>
      </w:numPr>
      <w:outlineLvl w:val="1"/>
    </w:pPr>
    <w:rPr>
      <w:rFonts w:ascii="黑体" w:eastAsia="黑体" w:hAnsi="Times New Roman" w:cs="Times New Roman"/>
      <w:kern w:val="21"/>
      <w:szCs w:val="20"/>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character" w:customStyle="1" w:styleId="Char6">
    <w:name w:val="批注主题 Char"/>
    <w:basedOn w:val="Char"/>
    <w:link w:val="ad"/>
    <w:uiPriority w:val="99"/>
    <w:semiHidden/>
    <w:qFormat/>
    <w:rPr>
      <w:b/>
      <w:bCs/>
      <w:kern w:val="2"/>
      <w:sz w:val="21"/>
      <w:szCs w:val="22"/>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Char4">
    <w:name w:val="脚注文本 Char"/>
    <w:basedOn w:val="a1"/>
    <w:link w:val="aa"/>
    <w:uiPriority w:val="99"/>
    <w:semiHidden/>
    <w:qFormat/>
    <w:rPr>
      <w:kern w:val="2"/>
      <w:sz w:val="18"/>
      <w:szCs w:val="18"/>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paragraph" w:customStyle="1" w:styleId="3">
    <w:name w:val="修订3"/>
    <w:hidden/>
    <w:uiPriority w:val="99"/>
    <w:semiHidden/>
    <w:qFormat/>
    <w:pPr>
      <w:pPrChange w:id="0" w:author="丁扬" w:date="2023-12-20T15:23:00Z">
        <w:pPr/>
      </w:pPrChange>
    </w:pPr>
    <w:rPr>
      <w:rFonts w:asciiTheme="minorHAnsi" w:eastAsiaTheme="minorEastAsia" w:hAnsiTheme="minorHAnsi" w:cstheme="minorBidi"/>
      <w:kern w:val="2"/>
      <w:sz w:val="21"/>
      <w:szCs w:val="22"/>
      <w:rPrChange w:id="0" w:author="丁扬" w:date="2023-12-20T15:23:00Z">
        <w:rPr>
          <w:rFonts w:asciiTheme="minorHAnsi" w:eastAsiaTheme="minorEastAsia" w:hAnsiTheme="minorHAnsi" w:cstheme="minorBidi"/>
          <w:kern w:val="2"/>
          <w:sz w:val="21"/>
          <w:szCs w:val="22"/>
          <w:lang w:val="en-US" w:eastAsia="zh-CN" w:bidi="ar-SA"/>
        </w:rPr>
      </w:rPrChan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qFormat="1"/>
    <w:lsdException w:name="annotation text" w:semiHidden="0" w:uiPriority="0" w:unhideWhenUsed="0"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qFormat="1"/>
    <w:lsdException w:name="Body Text Indent 2"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spacing w:line="360" w:lineRule="auto"/>
      <w:ind w:firstLineChars="200" w:firstLine="482"/>
      <w:outlineLvl w:val="0"/>
    </w:pPr>
    <w:rPr>
      <w:rFonts w:asciiTheme="minorEastAsia" w:hAnsiTheme="minorEastAsia"/>
      <w:b/>
      <w:sz w:val="24"/>
      <w:szCs w:val="24"/>
    </w:rPr>
  </w:style>
  <w:style w:type="paragraph" w:styleId="20">
    <w:name w:val="heading 2"/>
    <w:basedOn w:val="a"/>
    <w:next w:val="a"/>
    <w:link w:val="2Char"/>
    <w:qFormat/>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Normal Indent"/>
    <w:basedOn w:val="a"/>
    <w:qFormat/>
    <w:pPr>
      <w:ind w:firstLine="420"/>
    </w:pPr>
    <w:rPr>
      <w:rFonts w:ascii="Times New Roman" w:eastAsia="宋体" w:hAnsi="Times New Roman" w:cs="Times New Roman"/>
      <w:szCs w:val="20"/>
    </w:rPr>
  </w:style>
  <w:style w:type="paragraph" w:styleId="a5">
    <w:name w:val="annotation text"/>
    <w:basedOn w:val="a"/>
    <w:link w:val="Char"/>
    <w:qFormat/>
    <w:pPr>
      <w:jc w:val="left"/>
    </w:pPr>
    <w:rPr>
      <w:szCs w:val="24"/>
    </w:rPr>
  </w:style>
  <w:style w:type="paragraph" w:styleId="a6">
    <w:name w:val="Date"/>
    <w:basedOn w:val="a"/>
    <w:next w:val="a"/>
    <w:link w:val="Char0"/>
    <w:uiPriority w:val="99"/>
    <w:semiHidden/>
    <w:unhideWhenUsed/>
    <w:qFormat/>
    <w:pPr>
      <w:ind w:leftChars="2500" w:left="100"/>
    </w:pPr>
  </w:style>
  <w:style w:type="paragraph" w:styleId="21">
    <w:name w:val="Body Text Indent 2"/>
    <w:basedOn w:val="a"/>
    <w:link w:val="2Char0"/>
    <w:qFormat/>
    <w:pPr>
      <w:spacing w:after="120" w:line="480" w:lineRule="auto"/>
      <w:ind w:leftChars="200" w:left="420"/>
    </w:pPr>
    <w:rPr>
      <w:szCs w:val="24"/>
    </w:rPr>
  </w:style>
  <w:style w:type="paragraph" w:styleId="a7">
    <w:name w:val="Balloon Text"/>
    <w:basedOn w:val="a"/>
    <w:link w:val="Char1"/>
    <w:uiPriority w:val="99"/>
    <w:semiHidden/>
    <w:unhideWhenUsed/>
    <w:qFormat/>
    <w:rPr>
      <w:sz w:val="18"/>
      <w:szCs w:val="18"/>
    </w:rPr>
  </w:style>
  <w:style w:type="paragraph" w:styleId="a8">
    <w:name w:val="footer"/>
    <w:basedOn w:val="a"/>
    <w:link w:val="Char2"/>
    <w:uiPriority w:val="99"/>
    <w:unhideWhenUsed/>
    <w:qFormat/>
    <w:pPr>
      <w:tabs>
        <w:tab w:val="center" w:pos="4153"/>
        <w:tab w:val="right" w:pos="8306"/>
      </w:tabs>
      <w:snapToGrid w:val="0"/>
      <w:jc w:val="left"/>
    </w:pPr>
    <w:rPr>
      <w:sz w:val="18"/>
      <w:szCs w:val="18"/>
    </w:rPr>
  </w:style>
  <w:style w:type="paragraph" w:styleId="a9">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aa">
    <w:name w:val="footnote text"/>
    <w:basedOn w:val="a"/>
    <w:link w:val="Char4"/>
    <w:uiPriority w:val="99"/>
    <w:semiHidden/>
    <w:unhideWhenUsed/>
    <w:qFormat/>
    <w:pPr>
      <w:snapToGrid w:val="0"/>
      <w:jc w:val="left"/>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Char5"/>
    <w:qFormat/>
    <w:pPr>
      <w:spacing w:before="240" w:after="60"/>
      <w:jc w:val="center"/>
      <w:outlineLvl w:val="0"/>
    </w:pPr>
    <w:rPr>
      <w:rFonts w:ascii="Cambria" w:hAnsi="Cambria"/>
      <w:b/>
      <w:bCs/>
      <w:sz w:val="32"/>
      <w:szCs w:val="32"/>
    </w:rPr>
  </w:style>
  <w:style w:type="paragraph" w:styleId="ad">
    <w:name w:val="annotation subject"/>
    <w:basedOn w:val="a5"/>
    <w:next w:val="a5"/>
    <w:link w:val="Char6"/>
    <w:uiPriority w:val="99"/>
    <w:semiHidden/>
    <w:unhideWhenUsed/>
    <w:qFormat/>
    <w:rPr>
      <w:b/>
      <w:bCs/>
      <w:szCs w:val="22"/>
    </w:rPr>
  </w:style>
  <w:style w:type="table" w:styleId="ae">
    <w:name w:val="Table Grid"/>
    <w:basedOn w:val="a2"/>
    <w:uiPriority w:val="3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
    <w:name w:val="FollowedHyperlink"/>
    <w:basedOn w:val="a1"/>
    <w:uiPriority w:val="99"/>
    <w:semiHidden/>
    <w:unhideWhenUsed/>
    <w:qFormat/>
    <w:rPr>
      <w:color w:val="800080" w:themeColor="followedHyperlink"/>
      <w:u w:val="single"/>
    </w:rPr>
  </w:style>
  <w:style w:type="character" w:styleId="af0">
    <w:name w:val="Hyperlink"/>
    <w:basedOn w:val="a1"/>
    <w:uiPriority w:val="99"/>
    <w:unhideWhenUsed/>
    <w:qFormat/>
    <w:rPr>
      <w:color w:val="0000FF" w:themeColor="hyperlink"/>
      <w:u w:val="single"/>
    </w:rPr>
  </w:style>
  <w:style w:type="character" w:styleId="af1">
    <w:name w:val="annotation reference"/>
    <w:basedOn w:val="a1"/>
    <w:uiPriority w:val="99"/>
    <w:semiHidden/>
    <w:unhideWhenUsed/>
    <w:qFormat/>
    <w:rPr>
      <w:sz w:val="21"/>
      <w:szCs w:val="21"/>
    </w:rPr>
  </w:style>
  <w:style w:type="character" w:styleId="af2">
    <w:name w:val="footnote reference"/>
    <w:basedOn w:val="a1"/>
    <w:uiPriority w:val="99"/>
    <w:semiHidden/>
    <w:unhideWhenUsed/>
    <w:qFormat/>
    <w:rPr>
      <w:vertAlign w:val="superscript"/>
    </w:rPr>
  </w:style>
  <w:style w:type="character" w:customStyle="1" w:styleId="Char3">
    <w:name w:val="页眉 Char"/>
    <w:basedOn w:val="a1"/>
    <w:link w:val="a9"/>
    <w:uiPriority w:val="99"/>
    <w:qFormat/>
    <w:rPr>
      <w:sz w:val="18"/>
      <w:szCs w:val="18"/>
    </w:rPr>
  </w:style>
  <w:style w:type="character" w:customStyle="1" w:styleId="Char2">
    <w:name w:val="页脚 Char"/>
    <w:basedOn w:val="a1"/>
    <w:link w:val="a8"/>
    <w:uiPriority w:val="99"/>
    <w:qFormat/>
    <w:rPr>
      <w:sz w:val="18"/>
      <w:szCs w:val="18"/>
    </w:rPr>
  </w:style>
  <w:style w:type="character" w:customStyle="1" w:styleId="2Char0">
    <w:name w:val="正文文本缩进 2 Char"/>
    <w:basedOn w:val="a1"/>
    <w:link w:val="21"/>
    <w:qFormat/>
    <w:rPr>
      <w:szCs w:val="24"/>
    </w:rPr>
  </w:style>
  <w:style w:type="character" w:customStyle="1" w:styleId="Char5">
    <w:name w:val="标题 Char"/>
    <w:basedOn w:val="a1"/>
    <w:link w:val="ac"/>
    <w:qFormat/>
    <w:rPr>
      <w:rFonts w:ascii="Cambria" w:hAnsi="Cambria"/>
      <w:b/>
      <w:bCs/>
      <w:sz w:val="32"/>
      <w:szCs w:val="32"/>
    </w:rPr>
  </w:style>
  <w:style w:type="character" w:customStyle="1" w:styleId="Char">
    <w:name w:val="批注文字 Char"/>
    <w:basedOn w:val="a1"/>
    <w:link w:val="a5"/>
    <w:qFormat/>
    <w:rPr>
      <w:szCs w:val="24"/>
    </w:rPr>
  </w:style>
  <w:style w:type="paragraph" w:styleId="af3">
    <w:name w:val="List Paragraph"/>
    <w:basedOn w:val="a"/>
    <w:uiPriority w:val="34"/>
    <w:qFormat/>
    <w:pPr>
      <w:ind w:firstLineChars="200" w:firstLine="420"/>
    </w:pPr>
  </w:style>
  <w:style w:type="character" w:customStyle="1" w:styleId="Char0">
    <w:name w:val="日期 Char"/>
    <w:basedOn w:val="a1"/>
    <w:link w:val="a6"/>
    <w:uiPriority w:val="99"/>
    <w:semiHidden/>
    <w:qFormat/>
  </w:style>
  <w:style w:type="character" w:customStyle="1" w:styleId="1Char">
    <w:name w:val="标题 1 Char"/>
    <w:basedOn w:val="a1"/>
    <w:link w:val="1"/>
    <w:uiPriority w:val="9"/>
    <w:qFormat/>
    <w:rPr>
      <w:rFonts w:asciiTheme="minorEastAsia" w:hAnsiTheme="minorEastAsia"/>
      <w:b/>
      <w:sz w:val="24"/>
      <w:szCs w:val="24"/>
    </w:rPr>
  </w:style>
  <w:style w:type="paragraph" w:customStyle="1" w:styleId="TOC1">
    <w:name w:val="TOC 标题1"/>
    <w:basedOn w:val="1"/>
    <w:next w:val="a"/>
    <w:uiPriority w:val="39"/>
    <w:semiHidden/>
    <w:unhideWhenUsed/>
    <w:qFormat/>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
    <w:name w:val="批注框文本 Char"/>
    <w:basedOn w:val="a1"/>
    <w:link w:val="a7"/>
    <w:uiPriority w:val="99"/>
    <w:semiHidden/>
    <w:qFormat/>
    <w:rPr>
      <w:sz w:val="18"/>
      <w:szCs w:val="18"/>
    </w:rPr>
  </w:style>
  <w:style w:type="paragraph" w:styleId="af4">
    <w:name w:val="No Spacing"/>
    <w:link w:val="Char7"/>
    <w:uiPriority w:val="1"/>
    <w:qFormat/>
    <w:rPr>
      <w:rFonts w:asciiTheme="minorHAnsi" w:eastAsiaTheme="minorEastAsia" w:hAnsiTheme="minorHAnsi" w:cstheme="minorBidi"/>
      <w:sz w:val="22"/>
      <w:szCs w:val="22"/>
    </w:rPr>
  </w:style>
  <w:style w:type="character" w:customStyle="1" w:styleId="Char7">
    <w:name w:val="无间隔 Char"/>
    <w:basedOn w:val="a1"/>
    <w:link w:val="af4"/>
    <w:uiPriority w:val="1"/>
    <w:qFormat/>
    <w:rPr>
      <w:kern w:val="0"/>
      <w:sz w:val="22"/>
    </w:rPr>
  </w:style>
  <w:style w:type="character" w:customStyle="1" w:styleId="2Char">
    <w:name w:val="标题 2 Char"/>
    <w:basedOn w:val="a1"/>
    <w:link w:val="20"/>
    <w:qFormat/>
    <w:rPr>
      <w:rFonts w:ascii="Arial" w:eastAsia="黑体" w:hAnsi="Arial" w:cs="Times New Roman"/>
      <w:b/>
      <w:bCs/>
      <w:sz w:val="32"/>
      <w:szCs w:val="32"/>
    </w:rPr>
  </w:style>
  <w:style w:type="paragraph" w:customStyle="1" w:styleId="Char8">
    <w:name w:val="Char"/>
    <w:basedOn w:val="a"/>
    <w:qFormat/>
    <w:rPr>
      <w:rFonts w:ascii="宋体" w:eastAsia="宋体" w:hAnsi="宋体" w:cs="Courier New"/>
      <w:sz w:val="32"/>
      <w:szCs w:val="32"/>
    </w:rPr>
  </w:style>
  <w:style w:type="paragraph" w:customStyle="1" w:styleId="af5">
    <w:name w:val="章"/>
    <w:basedOn w:val="a"/>
    <w:next w:val="a"/>
    <w:qFormat/>
    <w:pPr>
      <w:tabs>
        <w:tab w:val="left" w:pos="750"/>
      </w:tabs>
      <w:adjustRightInd w:val="0"/>
      <w:spacing w:before="160" w:after="160"/>
      <w:ind w:left="750" w:hanging="750"/>
      <w:outlineLvl w:val="0"/>
    </w:pPr>
    <w:rPr>
      <w:rFonts w:ascii="黑体" w:eastAsia="黑体" w:hAnsi="Times New Roman" w:cs="Times New Roman"/>
      <w:kern w:val="21"/>
      <w:szCs w:val="20"/>
    </w:rPr>
  </w:style>
  <w:style w:type="paragraph" w:customStyle="1" w:styleId="2">
    <w:name w:val="条2"/>
    <w:basedOn w:val="a"/>
    <w:next w:val="a"/>
    <w:qFormat/>
    <w:pPr>
      <w:numPr>
        <w:ilvl w:val="2"/>
        <w:numId w:val="1"/>
      </w:numPr>
      <w:outlineLvl w:val="1"/>
    </w:pPr>
    <w:rPr>
      <w:rFonts w:ascii="黑体" w:eastAsia="黑体" w:hAnsi="Times New Roman" w:cs="Times New Roman"/>
      <w:kern w:val="21"/>
      <w:szCs w:val="20"/>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character" w:customStyle="1" w:styleId="Char6">
    <w:name w:val="批注主题 Char"/>
    <w:basedOn w:val="Char"/>
    <w:link w:val="ad"/>
    <w:uiPriority w:val="99"/>
    <w:semiHidden/>
    <w:qFormat/>
    <w:rPr>
      <w:b/>
      <w:bCs/>
      <w:kern w:val="2"/>
      <w:sz w:val="21"/>
      <w:szCs w:val="22"/>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Char4">
    <w:name w:val="脚注文本 Char"/>
    <w:basedOn w:val="a1"/>
    <w:link w:val="aa"/>
    <w:uiPriority w:val="99"/>
    <w:semiHidden/>
    <w:qFormat/>
    <w:rPr>
      <w:kern w:val="2"/>
      <w:sz w:val="18"/>
      <w:szCs w:val="18"/>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paragraph" w:customStyle="1" w:styleId="3">
    <w:name w:val="修订3"/>
    <w:hidden/>
    <w:uiPriority w:val="99"/>
    <w:semiHidden/>
    <w:qFormat/>
    <w:pPr>
      <w:pPrChange w:id="1" w:author="丁扬" w:date="2023-12-20T15:23:00Z">
        <w:pPr/>
      </w:pPrChange>
    </w:pPr>
    <w:rPr>
      <w:rFonts w:asciiTheme="minorHAnsi" w:eastAsiaTheme="minorEastAsia" w:hAnsiTheme="minorHAnsi" w:cstheme="minorBidi"/>
      <w:kern w:val="2"/>
      <w:sz w:val="21"/>
      <w:szCs w:val="22"/>
      <w:rPrChange w:id="1" w:author="丁扬" w:date="2023-12-20T15:23:00Z">
        <w:rPr>
          <w:rFonts w:asciiTheme="minorHAnsi" w:eastAsiaTheme="minorEastAsia" w:hAnsiTheme="minorHAnsi" w:cstheme="minorBidi"/>
          <w:kern w:val="2"/>
          <w:sz w:val="21"/>
          <w:szCs w:val="22"/>
          <w:lang w:val="en-US" w:eastAsia="zh-CN"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1115</Words>
  <Characters>6358</Characters>
  <Application>Microsoft Office Word</Application>
  <DocSecurity>0</DocSecurity>
  <Lines>52</Lines>
  <Paragraphs>14</Paragraphs>
  <ScaleCrop>false</ScaleCrop>
  <Company>Sky123.Org</Company>
  <LinksUpToDate>false</LinksUpToDate>
  <CharactersWithSpaces>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xiefengjiao</dc:creator>
  <cp:lastModifiedBy>JonMMx 2000</cp:lastModifiedBy>
  <cp:revision>2</cp:revision>
  <cp:lastPrinted>2024-02-21T07:34:00Z</cp:lastPrinted>
  <dcterms:created xsi:type="dcterms:W3CDTF">2026-04-13T08:43:00Z</dcterms:created>
  <dcterms:modified xsi:type="dcterms:W3CDTF">2026-04-13T08:43:00Z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584CE3FB6520475FABFD9E43D3E91DFE</vt:lpwstr>
  </property>
  <property fmtid="{D5CDD505-2E9C-101B-9397-08002B2CF9AE}" pid="4" name="KSOTemplateDocerSaveRecord">
    <vt:lpwstr>eyJoZGlkIjoiODU4ZTJhNTcwYmYxZjk5OGM3NjQ2YTFlN2VjY2ViMTYiLCJ1c2VySWQiOiI0MzEyMTE2NDAifQ==</vt:lpwstr>
  </property>
</Properties>
</file>