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4EC42E">
      <w:pPr>
        <w:pStyle w:val="2"/>
        <w:widowControl/>
        <w:jc w:val="center"/>
        <w:rPr>
          <w:rFonts w:hint="eastAsia" w:cs="宋体"/>
          <w:i w:val="0"/>
          <w:iCs/>
          <w:sz w:val="32"/>
          <w:szCs w:val="32"/>
          <w:lang w:val="en-US" w:eastAsia="zh-CN"/>
        </w:rPr>
      </w:pPr>
      <w:bookmarkStart w:id="0" w:name="_Toc12866"/>
      <w:r>
        <w:rPr>
          <w:rFonts w:hint="eastAsia" w:cs="宋体"/>
          <w:i w:val="0"/>
          <w:iCs/>
          <w:sz w:val="32"/>
          <w:szCs w:val="32"/>
          <w:lang w:val="en-US" w:eastAsia="zh-CN"/>
        </w:rPr>
        <w:t>山东重工集团2026年汉诺威车展</w:t>
      </w:r>
    </w:p>
    <w:p w14:paraId="70EB68A1">
      <w:pPr>
        <w:pStyle w:val="2"/>
        <w:widowControl/>
        <w:jc w:val="center"/>
        <w:rPr>
          <w:i w:val="0"/>
          <w:iCs/>
          <w:sz w:val="32"/>
          <w:szCs w:val="32"/>
          <w:lang w:val="en-US"/>
        </w:rPr>
      </w:pPr>
      <w:r>
        <w:rPr>
          <w:rFonts w:hint="eastAsia" w:cs="宋体"/>
          <w:i w:val="0"/>
          <w:iCs/>
          <w:sz w:val="32"/>
          <w:szCs w:val="32"/>
          <w:lang w:val="en-US" w:eastAsia="zh-CN"/>
        </w:rPr>
        <w:t>展位搭建项目招标公告</w:t>
      </w:r>
      <w:bookmarkEnd w:id="0"/>
    </w:p>
    <w:p w14:paraId="1EBE2D1A">
      <w:pPr>
        <w:pStyle w:val="2"/>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ZBGL2026050235</w:t>
      </w:r>
      <w:r>
        <w:rPr>
          <w:rFonts w:hint="eastAsia" w:ascii="Cambria" w:hAnsi="Cambria" w:eastAsia="宋体" w:cs="宋体"/>
          <w:b/>
          <w:bCs/>
          <w:i w:val="0"/>
          <w:iCs/>
          <w:sz w:val="22"/>
          <w:szCs w:val="22"/>
          <w:highlight w:val="none"/>
          <w:lang w:eastAsia="zh-CN"/>
        </w:rPr>
        <w:t>）</w:t>
      </w:r>
      <w:bookmarkEnd w:id="1"/>
    </w:p>
    <w:p w14:paraId="20BDA0D9">
      <w:pPr>
        <w:rPr>
          <w:rFonts w:hint="eastAsia" w:asciiTheme="majorEastAsia" w:hAnsiTheme="majorEastAsia" w:eastAsiaTheme="majorEastAsia" w:cstheme="majorEastAsia"/>
          <w:b/>
          <w:bCs/>
          <w:sz w:val="24"/>
          <w:szCs w:val="24"/>
        </w:rPr>
      </w:pPr>
    </w:p>
    <w:p w14:paraId="474C137B">
      <w:pPr>
        <w:rPr>
          <w:rFonts w:hint="eastAsia" w:asciiTheme="majorEastAsia" w:hAnsiTheme="majorEastAsia" w:eastAsiaTheme="majorEastAsia" w:cstheme="majorEastAsia"/>
          <w:b/>
          <w:bCs/>
          <w:sz w:val="24"/>
          <w:szCs w:val="24"/>
        </w:rPr>
      </w:pPr>
    </w:p>
    <w:tbl>
      <w:tblPr>
        <w:tblStyle w:val="10"/>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677DE7B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6FB91D9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06EEAF26">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2026-05-27 </w:t>
            </w:r>
          </w:p>
        </w:tc>
        <w:tc>
          <w:tcPr>
            <w:tcW w:w="2200" w:type="dxa"/>
            <w:shd w:val="clear" w:color="auto" w:fill="DEDEDE"/>
            <w:vAlign w:val="center"/>
          </w:tcPr>
          <w:p w14:paraId="09883BE4">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66EF447B">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2026-06-05</w:t>
            </w:r>
          </w:p>
        </w:tc>
      </w:tr>
    </w:tbl>
    <w:p w14:paraId="3891D99F">
      <w:pPr>
        <w:rPr>
          <w:rFonts w:hint="eastAsia" w:asciiTheme="majorEastAsia" w:hAnsiTheme="majorEastAsia" w:eastAsiaTheme="majorEastAsia" w:cstheme="majorEastAsia"/>
          <w:b/>
          <w:bCs/>
          <w:sz w:val="24"/>
          <w:szCs w:val="24"/>
        </w:rPr>
      </w:pPr>
    </w:p>
    <w:p w14:paraId="22A1DC92">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5A429297">
      <w:pPr>
        <w:ind w:firstLine="480"/>
        <w:rPr>
          <w:rFonts w:hint="eastAsia"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lang w:val="en-US" w:eastAsia="zh-CN"/>
        </w:rPr>
        <w:t>2026年9月，汉诺威国际商用车博览会（IAA）将在德国举办。本次搭建服务需在设计标成果基础上完成展位实体落地，确保展示效果、工程安全、境外合规、展期维护和撤展交付，全面满足招标人及展馆方要求。</w:t>
      </w:r>
    </w:p>
    <w:p w14:paraId="45DF493C">
      <w:pPr>
        <w:ind w:firstLine="480"/>
        <w:rPr>
          <w:rFonts w:hint="eastAsia"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lang w:val="en-US" w:eastAsia="zh-CN"/>
        </w:rPr>
        <w:t>展位搭建及相关配套服务，包括但不限于施工搭建、材料采购制作、国际/境外物流协调运输、现场搭建、AV/灯光/电气/网络/给排水集成、展品及互动设备安装配合、展期运维保障、撤展清场及资料归档等。</w:t>
      </w:r>
    </w:p>
    <w:p w14:paraId="34DE45B1">
      <w:pPr>
        <w:ind w:firstLine="480"/>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highlight w:val="yellow"/>
          <w:lang w:val="en-US" w:eastAsia="zh-CN"/>
        </w:rPr>
        <w:t>（若需详情，请联系技术联系人，或应标后见招标文件技术标书）</w:t>
      </w:r>
    </w:p>
    <w:p w14:paraId="36BF1B5C">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755D5F23">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项目名称：山东重工集团2026年汉诺威车展展位搭建项目</w:t>
      </w:r>
    </w:p>
    <w:p w14:paraId="4610D852">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直管单位非生产招标/服务/品牌宣传</w:t>
      </w:r>
    </w:p>
    <w:p w14:paraId="3B9A1FEF">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77801997">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4.项目等级：A级</w:t>
      </w:r>
    </w:p>
    <w:p w14:paraId="26BCDC17">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752568FA">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1．投标人应遵守《中华人民共和国招标投标法》及有关的法律和法规。具备独立法人资格，具有独立承担民事责任能力、良好的财务状况、一定的垫资能力，经营稳定，资质符合项目要求，具有全面履约能力。</w:t>
      </w:r>
    </w:p>
    <w:p w14:paraId="43177994">
      <w:pPr>
        <w:ind w:firstLine="420" w:firstLineChars="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2．投标人的注册资金不低于500万元，营业执照在有效期内并且经营范围满足招标人需求，注册三年以上（以营业执照成立日期到开标当日计算）。</w:t>
      </w:r>
    </w:p>
    <w:p w14:paraId="1F389494">
      <w:pPr>
        <w:ind w:firstLine="420" w:firstLineChars="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3．投标人在国家企业信用信息公示系统中有不良记录、近三年的公司财务报表异常、存在严重违规或被列入招标人“黑名单”的，招标人有权取消其投标资格。</w:t>
      </w:r>
    </w:p>
    <w:p w14:paraId="79B784A5">
      <w:pPr>
        <w:ind w:firstLine="420" w:firstLineChars="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4．投标方的直接或间接股东、法定代表人、董事、监事、高管非山东重工集团内员工及其亲属。</w:t>
      </w:r>
    </w:p>
    <w:p w14:paraId="4BCD4B51">
      <w:pPr>
        <w:ind w:firstLine="420" w:firstLineChars="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5．招标方无招标违规、谎报年度报告信息、提供虚假资质资料等行为或其他行政处罚记录。</w:t>
      </w:r>
    </w:p>
    <w:p w14:paraId="729B2F0F">
      <w:pPr>
        <w:ind w:firstLine="420" w:firstLineChars="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6.投标方之间必须具有充分的竞争关系。</w:t>
      </w:r>
    </w:p>
    <w:p w14:paraId="1A8864C3">
      <w:pPr>
        <w:ind w:firstLine="420" w:firstLineChars="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7.投标人应具备海外大型展会特装展台搭建经验，近三年内至少具有1个欧洲国家汽车、商用车或工程机械类现场执行案例（展区面积不小于500㎡）；具有良好的风险应对能力，能够认可招标人的工作指令，包括节、假日能正常开展工作等要求，并在开标时携带以往项目策划执行资料、企业资信材料、财务报表及完税证明等备查。</w:t>
      </w:r>
    </w:p>
    <w:p w14:paraId="2F1AB353">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highlight w:val="yellow"/>
          <w:lang w:val="en-US" w:eastAsia="zh-CN"/>
        </w:rPr>
        <w:t>以下第8条内容为应标报名材料，报名阶段上传重汽e采通系统。</w:t>
      </w:r>
    </w:p>
    <w:p w14:paraId="2FFA52E3">
      <w:pPr>
        <w:ind w:firstLine="420" w:firstLineChars="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8．资格审查方式：资格预审，合格制。投标人</w:t>
      </w:r>
      <w:r>
        <w:rPr>
          <w:rFonts w:hint="eastAsia" w:asciiTheme="majorEastAsia" w:hAnsiTheme="majorEastAsia" w:eastAsiaTheme="majorEastAsia" w:cstheme="majorEastAsia"/>
          <w:sz w:val="24"/>
          <w:szCs w:val="24"/>
          <w:highlight w:val="yellow"/>
        </w:rPr>
        <w:t>应编制资格预审文件</w:t>
      </w:r>
      <w:r>
        <w:rPr>
          <w:rFonts w:hint="eastAsia" w:asciiTheme="majorEastAsia" w:hAnsiTheme="majorEastAsia" w:eastAsiaTheme="majorEastAsia" w:cstheme="majorEastAsia"/>
          <w:sz w:val="24"/>
          <w:szCs w:val="24"/>
        </w:rPr>
        <w:t>，否则视为放弃投标，内容包括：</w:t>
      </w:r>
    </w:p>
    <w:p w14:paraId="07E17F2A">
      <w:pPr>
        <w:ind w:firstLine="420" w:firstLineChars="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（1）投标人基本情况表，附带投标人营业执照副本及复印件（加盖单位公章）。</w:t>
      </w:r>
    </w:p>
    <w:p w14:paraId="524990A4">
      <w:pPr>
        <w:ind w:firstLine="420" w:firstLineChars="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（2）法定代表人身份证复印件，若法定代表人不能出席，需有法定代表人授权委托书（附件1）及被委托人身份证（加盖单位公章）。有特殊情况请额外说明，经招标方审核后方可正常投标。</w:t>
      </w:r>
    </w:p>
    <w:p w14:paraId="1FB0D073">
      <w:pPr>
        <w:ind w:firstLine="420" w:firstLineChars="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财务状况报告，依法缴纳税收相关材料复印件加盖公章（财务状况报告：近三年审计报告，包括但不限于报告页、经审计的资产负债表、利润表、现金流量表及报表附注；或提供投标文件开启时间前6个月以内银行出具的资信证明（提供复印件加盖单位公章）；如公司规模小，无审计报告，可提供近三年财务报表，包括但不限于资产负债表、利润表、现金流量表；税收材料：税收完税凭证或税务部门出具的纳税证明）。有特殊情况请额外说明，经招标方审核后方可正常投标。</w:t>
      </w:r>
    </w:p>
    <w:p w14:paraId="27F35C91">
      <w:pPr>
        <w:ind w:firstLine="420" w:firstLineChars="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（4）无重大违法记录的书面声明原件（加盖单位公章）。</w:t>
      </w:r>
    </w:p>
    <w:p w14:paraId="7573C19E">
      <w:pPr>
        <w:ind w:firstLine="420" w:firstLineChars="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（5）信用承诺书（加盖单位公章）。</w:t>
      </w:r>
    </w:p>
    <w:p w14:paraId="087980A1">
      <w:pPr>
        <w:ind w:firstLine="420" w:firstLineChars="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（6）企业对外担保说明（写明贵单位对外有无对外担保和质押业务，需加盖单位公章）。</w:t>
      </w:r>
    </w:p>
    <w:p w14:paraId="7CBF42C9">
      <w:pPr>
        <w:ind w:firstLine="420" w:firstLineChars="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（7）近三年内至少1个欧洲国家汽车、商用车或工程机械类（展区面积不小于500㎡）展会搭建现场执行案例的合同关键页、项目成果照片、项目说明等。仅提供效果图或内部介绍无合同的，不作为有效材料。</w:t>
      </w:r>
    </w:p>
    <w:p w14:paraId="7FDDA412">
      <w:pPr>
        <w:ind w:firstLine="420" w:firstLineChars="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（8）保密协议</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见附件</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rPr>
        <w:t>。</w:t>
      </w:r>
    </w:p>
    <w:p w14:paraId="68291BED">
      <w:pPr>
        <w:ind w:firstLine="420" w:firstLineChars="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highlight w:val="yellow"/>
          <w:lang w:val="en-US" w:eastAsia="zh-CN"/>
        </w:rPr>
        <w:t>9.本次汉诺威展会施工招标，已中标设计标段单位及其股权关联、各类关联主体均不得参与投标，杜绝利益风险。</w:t>
      </w:r>
      <w:bookmarkStart w:id="4" w:name="_GoBack"/>
      <w:bookmarkEnd w:id="4"/>
    </w:p>
    <w:p w14:paraId="05FEE92F">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四、采购文件领取 </w:t>
      </w:r>
      <w:r>
        <w:rPr>
          <w:rFonts w:hint="eastAsia" w:asciiTheme="majorEastAsia" w:hAnsiTheme="majorEastAsia" w:eastAsiaTheme="majorEastAsia" w:cstheme="majorEastAsia"/>
          <w:sz w:val="24"/>
          <w:szCs w:val="24"/>
        </w:rPr>
        <w:t xml:space="preserve"> </w:t>
      </w:r>
    </w:p>
    <w:p w14:paraId="52EB1949">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r>
        <w:rPr>
          <w:rFonts w:hint="eastAsia" w:asciiTheme="majorEastAsia" w:hAnsiTheme="majorEastAsia" w:eastAsiaTheme="majorEastAsia" w:cstheme="majorEastAsia"/>
          <w:sz w:val="24"/>
          <w:szCs w:val="24"/>
        </w:rPr>
        <w:t xml:space="preserve"> </w:t>
      </w:r>
    </w:p>
    <w:p w14:paraId="1F6DACB3">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06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05</w:t>
      </w:r>
      <w:r>
        <w:rPr>
          <w:rFonts w:hint="eastAsia" w:asciiTheme="majorEastAsia" w:hAnsiTheme="majorEastAsia" w:eastAsiaTheme="majorEastAsia" w:cstheme="majorEastAsia"/>
          <w:sz w:val="24"/>
          <w:szCs w:val="24"/>
        </w:rPr>
        <w:t xml:space="preserve"> 17:00:00 </w:t>
      </w:r>
    </w:p>
    <w:p w14:paraId="4759D9F9">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采购文件领取地点：</w:t>
      </w:r>
      <w:r>
        <w:rPr>
          <w:rFonts w:hint="eastAsia" w:asciiTheme="majorEastAsia" w:hAnsiTheme="majorEastAsia" w:eastAsiaTheme="majorEastAsia" w:cstheme="majorEastAsia"/>
          <w:sz w:val="24"/>
          <w:szCs w:val="24"/>
          <w:lang w:val="en-US" w:eastAsia="zh-CN"/>
        </w:rPr>
        <w:t>重汽e采通</w:t>
      </w:r>
      <w:r>
        <w:rPr>
          <w:rFonts w:hint="eastAsia" w:asciiTheme="majorEastAsia" w:hAnsiTheme="majorEastAsia" w:eastAsiaTheme="majorEastAsia" w:cstheme="majorEastAsia"/>
          <w:sz w:val="24"/>
          <w:szCs w:val="24"/>
        </w:rPr>
        <w:t xml:space="preserve"> </w:t>
      </w:r>
    </w:p>
    <w:p w14:paraId="3A64C75D">
      <w:pPr>
        <w:jc w:val="lef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五、响应文件提交 </w:t>
      </w:r>
    </w:p>
    <w:p w14:paraId="77BB3C9A">
      <w:pPr>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p>
    <w:p w14:paraId="6010EC64">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22</w:t>
      </w:r>
      <w:r>
        <w:rPr>
          <w:rFonts w:hint="eastAsia" w:asciiTheme="majorEastAsia" w:hAnsiTheme="majorEastAsia" w:eastAsiaTheme="majorEastAsia" w:cstheme="majorEastAsia"/>
          <w:sz w:val="24"/>
          <w:szCs w:val="24"/>
        </w:rPr>
        <w:t xml:space="preserve"> 09:00:00 </w:t>
      </w:r>
    </w:p>
    <w:p w14:paraId="756D49F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lang w:val="en-US" w:eastAsia="zh-CN"/>
        </w:rPr>
        <w:t>重汽e采通</w:t>
      </w:r>
      <w:r>
        <w:rPr>
          <w:rFonts w:hint="eastAsia" w:asciiTheme="majorEastAsia" w:hAnsiTheme="majorEastAsia" w:eastAsiaTheme="majorEastAsia" w:cstheme="majorEastAsia"/>
          <w:sz w:val="24"/>
          <w:szCs w:val="24"/>
        </w:rPr>
        <w:t xml:space="preserve"> </w:t>
      </w:r>
    </w:p>
    <w:p w14:paraId="18836169">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六、开标时间和地点 </w:t>
      </w:r>
    </w:p>
    <w:p w14:paraId="47B3B62D">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22</w:t>
      </w:r>
      <w:r>
        <w:rPr>
          <w:rFonts w:hint="eastAsia" w:asciiTheme="majorEastAsia" w:hAnsiTheme="majorEastAsia" w:eastAsiaTheme="majorEastAsia" w:cstheme="majorEastAsia"/>
          <w:sz w:val="24"/>
          <w:szCs w:val="24"/>
        </w:rPr>
        <w:t xml:space="preserve"> 09:00:00 </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暂定，以实际通知为准</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rPr>
        <w:t xml:space="preserve"> </w:t>
      </w:r>
    </w:p>
    <w:p w14:paraId="4EB316E7">
      <w:pPr>
        <w:ind w:firstLine="48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Theme="majorEastAsia" w:hAnsiTheme="majorEastAsia" w:eastAsiaTheme="majorEastAsia" w:cstheme="majorEastAsia"/>
          <w:sz w:val="24"/>
          <w:szCs w:val="24"/>
        </w:rPr>
        <w:t>山东省济南市历城区华奥路777号重汽科技大厦</w:t>
      </w:r>
      <w:r>
        <w:rPr>
          <w:rFonts w:hint="eastAsia" w:asciiTheme="majorEastAsia" w:hAnsiTheme="majorEastAsia" w:eastAsiaTheme="majorEastAsia" w:cstheme="majorEastAsia"/>
          <w:sz w:val="24"/>
          <w:szCs w:val="24"/>
          <w:lang w:val="en-US" w:eastAsia="zh-CN"/>
        </w:rPr>
        <w:t>三楼会议室</w:t>
      </w: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暂定，以实际通知为准</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rPr>
        <w:t xml:space="preserve"> </w:t>
      </w:r>
    </w:p>
    <w:p w14:paraId="1FAC7C52">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七、发布公告的媒介  </w:t>
      </w:r>
    </w:p>
    <w:p w14:paraId="0F0EE9FD">
      <w:pPr>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    阳光采购服务平台（www.ygcgfw.com） </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w:t>
      </w:r>
    </w:p>
    <w:p w14:paraId="7FBD0B0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八、联系方式 </w:t>
      </w:r>
    </w:p>
    <w:p w14:paraId="533DA6B9">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CCCDBA5">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名称：中国重型汽车集团有限公司 </w:t>
      </w:r>
    </w:p>
    <w:p w14:paraId="25BF107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0B4B17B3">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联系人：</w:t>
      </w:r>
      <w:r>
        <w:rPr>
          <w:rFonts w:hint="eastAsia" w:asciiTheme="majorEastAsia" w:hAnsiTheme="majorEastAsia" w:eastAsiaTheme="majorEastAsia" w:cstheme="majorEastAsia"/>
          <w:sz w:val="24"/>
          <w:szCs w:val="24"/>
          <w:lang w:val="en-US" w:eastAsia="zh-CN"/>
        </w:rPr>
        <w:t>杨工</w:t>
      </w:r>
    </w:p>
    <w:p w14:paraId="5BB75B62">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17860605820</w:t>
      </w:r>
    </w:p>
    <w:p w14:paraId="2BBBFC11">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技术联系人：柴老师</w:t>
      </w:r>
    </w:p>
    <w:p w14:paraId="18B2FB9A">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联系电话：18615639061</w:t>
      </w:r>
    </w:p>
    <w:p w14:paraId="3B00F455">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九、其他说明  </w:t>
      </w:r>
    </w:p>
    <w:p w14:paraId="61216B83">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5B93320D">
      <w:pPr>
        <w:ind w:firstLine="480" w:firstLineChars="20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供应商需在阳光采购服务平台进行注册，注册后搜索该项目并进行报名。</w:t>
      </w:r>
    </w:p>
    <w:p w14:paraId="317ABA5C">
      <w:pPr>
        <w:ind w:firstLine="480" w:firstLineChars="200"/>
        <w:rPr>
          <w:rFonts w:hint="eastAsia" w:asciiTheme="majorEastAsia" w:hAnsiTheme="majorEastAsia" w:eastAsiaTheme="majorEastAsia" w:cstheme="majorEastAsia"/>
          <w:sz w:val="24"/>
          <w:szCs w:val="24"/>
        </w:rPr>
      </w:pPr>
    </w:p>
    <w:p w14:paraId="232D9641">
      <w:pPr>
        <w:ind w:firstLine="480" w:firstLineChars="20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注：</w:t>
      </w:r>
    </w:p>
    <w:p w14:paraId="12B5F7B5">
      <w:pPr>
        <w:ind w:left="479" w:leftChars="228" w:firstLine="0" w:firstLineChars="0"/>
        <w:rPr>
          <w:rFonts w:hint="eastAsia" w:asciiTheme="majorEastAsia" w:hAnsiTheme="majorEastAsia" w:eastAsiaTheme="majorEastAsia" w:cstheme="majorEastAsia"/>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w:t>
      </w:r>
      <w:r>
        <w:rPr>
          <w:rFonts w:hint="eastAsia" w:ascii="宋体" w:hAnsi="宋体" w:eastAsia="宋体" w:cs="宋体"/>
          <w:sz w:val="24"/>
          <w:szCs w:val="24"/>
          <w:highlight w:val="yellow"/>
          <w:lang w:val="en-US" w:eastAsia="zh-CN"/>
        </w:rPr>
        <w:t>已注册的投标人注意去重汽e采通平台检查更新近三年的经营概况，财务信息更新到近三年，</w:t>
      </w:r>
      <w:r>
        <w:rPr>
          <w:rFonts w:ascii="宋体" w:hAnsi="宋体" w:eastAsia="宋体" w:cs="宋体"/>
          <w:sz w:val="24"/>
          <w:szCs w:val="24"/>
          <w:highlight w:val="yellow"/>
        </w:rPr>
        <w:t>确保信息真实、完整</w:t>
      </w:r>
      <w:r>
        <w:rPr>
          <w:rFonts w:hint="eastAsia" w:ascii="宋体" w:hAnsi="宋体" w:eastAsia="宋体" w:cs="宋体"/>
          <w:sz w:val="24"/>
          <w:szCs w:val="24"/>
          <w:highlight w:val="yellow"/>
          <w:lang w:val="en-US" w:eastAsia="zh-CN"/>
        </w:rPr>
        <w:t>且不许有空余，若因此造成应标不成功，后果由投标人自行承担。（更新路径：重汽e采通-供应商中心-供应商变更-供应商财务数据变更管理-右上角：发起变更；详见SRM系统供应商用户近三年财务数据更新附件3）</w:t>
      </w:r>
    </w:p>
    <w:p w14:paraId="07650A6C">
      <w:pPr>
        <w:ind w:left="479" w:leftChars="228" w:firstLine="0" w:firstLineChars="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②开标过程概述：</w:t>
      </w:r>
    </w:p>
    <w:p w14:paraId="7711A2F2">
      <w:pPr>
        <w:pStyle w:val="6"/>
        <w:spacing w:line="360" w:lineRule="auto"/>
        <w:ind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唱标流程：技术标唱标→技术标澄清→技术标评分→商务标唱标→价格澄清→商务标评审；</w:t>
      </w:r>
    </w:p>
    <w:p w14:paraId="7AAF900C">
      <w:pPr>
        <w:pStyle w:val="6"/>
        <w:spacing w:line="360" w:lineRule="auto"/>
        <w:ind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开标过程A级项目进行三轮开标会，B级项目进行两轮开标会</w:t>
      </w:r>
      <w:r>
        <w:rPr>
          <w:rFonts w:hint="eastAsia" w:hAnsi="宋体" w:eastAsia="宋体" w:cs="宋体"/>
          <w:kern w:val="2"/>
          <w:sz w:val="24"/>
          <w:szCs w:val="24"/>
          <w:lang w:val="en-US" w:eastAsia="zh-CN" w:bidi="ar-SA"/>
        </w:rPr>
        <w:t>，每轮均可能淘汰投标方</w:t>
      </w:r>
      <w:r>
        <w:rPr>
          <w:rFonts w:hint="eastAsia" w:ascii="宋体" w:hAnsi="宋体" w:eastAsia="宋体" w:cs="宋体"/>
          <w:kern w:val="2"/>
          <w:sz w:val="24"/>
          <w:szCs w:val="24"/>
          <w:lang w:val="en-US" w:eastAsia="zh-CN" w:bidi="ar-SA"/>
        </w:rPr>
        <w:t>。</w:t>
      </w:r>
    </w:p>
    <w:p w14:paraId="737B5701">
      <w:pPr>
        <w:pStyle w:val="6"/>
        <w:spacing w:line="360" w:lineRule="auto"/>
        <w:ind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第一轮包括技术标答辩和商务标报价环节</w:t>
      </w:r>
      <w:r>
        <w:rPr>
          <w:rFonts w:hint="eastAsia" w:hAnsi="宋体" w:eastAsia="宋体" w:cs="宋体"/>
          <w:kern w:val="2"/>
          <w:sz w:val="24"/>
          <w:szCs w:val="24"/>
          <w:lang w:val="en-US" w:eastAsia="zh-CN" w:bidi="ar-SA"/>
        </w:rPr>
        <w:t>（报价次数没有具体限制，由专家组依据报价情况现场决定）</w:t>
      </w:r>
      <w:r>
        <w:rPr>
          <w:rFonts w:hint="eastAsia" w:ascii="宋体" w:hAnsi="宋体" w:eastAsia="宋体" w:cs="宋体"/>
          <w:kern w:val="2"/>
          <w:sz w:val="24"/>
          <w:szCs w:val="24"/>
          <w:lang w:val="en-US" w:eastAsia="zh-CN" w:bidi="ar-SA"/>
        </w:rPr>
        <w:t>。</w:t>
      </w:r>
    </w:p>
    <w:p w14:paraId="67EDCC87">
      <w:pPr>
        <w:pStyle w:val="6"/>
        <w:spacing w:line="360" w:lineRule="auto"/>
        <w:ind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第二轮由专家组审查第一轮的技术和商务情况，并决定是否继续进行商务报价</w:t>
      </w:r>
      <w:r>
        <w:rPr>
          <w:rFonts w:hint="eastAsia" w:hAnsi="宋体" w:eastAsia="宋体" w:cs="宋体"/>
          <w:kern w:val="2"/>
          <w:sz w:val="24"/>
          <w:szCs w:val="24"/>
          <w:lang w:val="en-US" w:eastAsia="zh-CN" w:bidi="ar-SA"/>
        </w:rPr>
        <w:t>（报价次数没有具体限制，由专家组依据报价情况现场决定）</w:t>
      </w:r>
      <w:r>
        <w:rPr>
          <w:rFonts w:hint="eastAsia" w:ascii="宋体" w:hAnsi="宋体" w:eastAsia="宋体" w:cs="宋体"/>
          <w:kern w:val="2"/>
          <w:sz w:val="24"/>
          <w:szCs w:val="24"/>
          <w:lang w:val="en-US" w:eastAsia="zh-CN" w:bidi="ar-SA"/>
        </w:rPr>
        <w:t>。</w:t>
      </w:r>
    </w:p>
    <w:p w14:paraId="163DB8D7">
      <w:pPr>
        <w:pStyle w:val="6"/>
        <w:spacing w:line="360" w:lineRule="auto"/>
        <w:ind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A级项目第三轮由专家组审查前两轮的技术和商务报价情况。</w:t>
      </w:r>
    </w:p>
    <w:p w14:paraId="41AA7F72">
      <w:pPr>
        <w:rPr>
          <w:rFonts w:hint="eastAsia" w:asciiTheme="majorEastAsia" w:hAnsiTheme="majorEastAsia" w:eastAsiaTheme="majorEastAsia" w:cstheme="majorEastAsia"/>
          <w:sz w:val="22"/>
          <w:szCs w:val="22"/>
          <w:highlight w:val="yellow"/>
          <w:lang w:val="en-US" w:eastAsia="zh-CN"/>
        </w:rPr>
      </w:pPr>
      <w:r>
        <w:rPr>
          <w:rFonts w:hint="eastAsia" w:asciiTheme="majorEastAsia" w:hAnsiTheme="majorEastAsia" w:eastAsiaTheme="majorEastAsia" w:cstheme="majorEastAsia"/>
          <w:sz w:val="22"/>
          <w:szCs w:val="22"/>
          <w:highlight w:val="yellow"/>
          <w:lang w:val="en-US" w:eastAsia="zh-CN"/>
        </w:rPr>
        <w:t>以上招标过程概述为项目联系人对中国重汽招标流程概述，投标人若投标即认可该招标流程。</w:t>
      </w:r>
    </w:p>
    <w:p w14:paraId="7C6170AD">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评审期间产生的技术</w:t>
      </w:r>
      <w:r>
        <w:rPr>
          <w:rFonts w:hint="eastAsia" w:ascii="宋体" w:hAnsi="宋体" w:eastAsia="宋体" w:cs="宋体"/>
          <w:color w:val="auto"/>
          <w:sz w:val="24"/>
          <w:szCs w:val="24"/>
          <w:highlight w:val="none"/>
          <w:lang w:val="en-US" w:eastAsia="zh-CN"/>
        </w:rPr>
        <w:t>和商务价格</w:t>
      </w:r>
      <w:r>
        <w:rPr>
          <w:rFonts w:hint="eastAsia" w:ascii="宋体" w:hAnsi="宋体" w:eastAsia="宋体" w:cs="宋体"/>
          <w:color w:val="auto"/>
          <w:sz w:val="24"/>
          <w:szCs w:val="24"/>
          <w:highlight w:val="none"/>
        </w:rPr>
        <w:t xml:space="preserve">澄清均由投标人在重汽e采通平台内完成提交；投标人均需自带笔记本电脑在重汽e采通平台自主进行投标和提交澄清函；投标和提交澄清函均有时间限制，超时未提交的按无效处理。  </w:t>
      </w:r>
    </w:p>
    <w:p w14:paraId="70331FFE">
      <w:pPr>
        <w:rPr>
          <w:rFonts w:hint="eastAsia" w:ascii="宋体" w:hAnsi="宋体" w:eastAsia="宋体" w:cs="宋体"/>
          <w:color w:val="auto"/>
          <w:sz w:val="24"/>
          <w:szCs w:val="24"/>
          <w:highlight w:val="none"/>
        </w:rPr>
      </w:pPr>
    </w:p>
    <w:p w14:paraId="41E4ABAF">
      <w:pPr>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 注意：每一轮在重汽e采通提供澄清报价均有时间限制，未能在规定时间内提交澄清函及报价的视为放弃本次投标。</w:t>
      </w:r>
    </w:p>
    <w:p w14:paraId="52D4E852">
      <w:pPr>
        <w:rPr>
          <w:rFonts w:hint="default" w:asciiTheme="majorEastAsia" w:hAnsiTheme="majorEastAsia" w:eastAsiaTheme="majorEastAsia" w:cstheme="majorEastAsia"/>
          <w:sz w:val="22"/>
          <w:szCs w:val="22"/>
          <w:highlight w:val="yellow"/>
          <w:lang w:val="en-US" w:eastAsia="zh-CN"/>
        </w:rPr>
      </w:pPr>
    </w:p>
    <w:p w14:paraId="5469D1D4">
      <w:pPr>
        <w:rPr>
          <w:rFonts w:hint="eastAsia" w:hAnsi="宋体" w:eastAsia="宋体" w:cs="宋体"/>
          <w:b/>
          <w:bCs/>
          <w:color w:val="000000"/>
          <w:sz w:val="24"/>
          <w:szCs w:val="24"/>
          <w:lang w:val="en-US" w:eastAsia="zh-CN"/>
        </w:rPr>
      </w:pPr>
      <w:r>
        <w:rPr>
          <w:rFonts w:hint="eastAsia" w:hAnsi="宋体" w:eastAsia="宋体" w:cs="宋体"/>
          <w:b/>
          <w:bCs/>
          <w:color w:val="000000"/>
          <w:sz w:val="24"/>
          <w:szCs w:val="24"/>
          <w:lang w:val="en-US" w:eastAsia="zh-CN"/>
        </w:rPr>
        <w:br w:type="page"/>
      </w:r>
    </w:p>
    <w:p w14:paraId="429EA667">
      <w:pPr>
        <w:pStyle w:val="6"/>
        <w:outlineLvl w:val="2"/>
        <w:rPr>
          <w:rFonts w:hint="eastAsia" w:hAnsi="宋体" w:eastAsia="宋体" w:cs="宋体"/>
          <w:b/>
          <w:bCs/>
          <w:color w:val="000000"/>
          <w:sz w:val="24"/>
          <w:szCs w:val="24"/>
          <w:lang w:val="en-US" w:eastAsia="zh-CN"/>
        </w:rPr>
        <w:sectPr>
          <w:pgSz w:w="11906" w:h="16838"/>
          <w:pgMar w:top="1588" w:right="1418" w:bottom="1134" w:left="1418" w:header="851" w:footer="992" w:gutter="0"/>
          <w:cols w:space="720" w:num="1"/>
          <w:titlePg/>
          <w:docGrid w:type="lines" w:linePitch="312" w:charSpace="0"/>
        </w:sectPr>
      </w:pPr>
    </w:p>
    <w:p w14:paraId="01B5B7D9">
      <w:pPr>
        <w:pStyle w:val="6"/>
        <w:outlineLvl w:val="2"/>
        <w:rPr>
          <w:rFonts w:hint="eastAsia" w:hAnsi="宋体" w:eastAsia="宋体" w:cs="宋体"/>
          <w:b/>
          <w:bCs/>
          <w:color w:val="000000"/>
          <w:sz w:val="24"/>
          <w:szCs w:val="24"/>
          <w:lang w:val="en-US" w:eastAsia="zh-CN"/>
        </w:rPr>
      </w:pPr>
      <w:r>
        <w:rPr>
          <w:rFonts w:hint="eastAsia" w:hAnsi="宋体" w:eastAsia="宋体" w:cs="宋体"/>
          <w:b/>
          <w:bCs/>
          <w:color w:val="000000"/>
          <w:sz w:val="24"/>
          <w:szCs w:val="24"/>
          <w:lang w:val="en-US" w:eastAsia="zh-CN"/>
        </w:rPr>
        <w:t>附件 授权书</w:t>
      </w:r>
    </w:p>
    <w:p w14:paraId="335ABA47">
      <w:pPr>
        <w:pStyle w:val="9"/>
        <w:spacing w:line="312" w:lineRule="auto"/>
        <w:jc w:val="center"/>
        <w:rPr>
          <w:rFonts w:hint="eastAsia" w:ascii="宋体" w:hAnsi="宋体" w:cs="宋体"/>
          <w:b/>
          <w:bCs/>
          <w:kern w:val="2"/>
          <w:sz w:val="44"/>
          <w:szCs w:val="44"/>
          <w:lang w:bidi="ar"/>
        </w:rPr>
      </w:pPr>
      <w:r>
        <w:rPr>
          <w:rFonts w:hint="eastAsia" w:ascii="宋体" w:hAnsi="宋体" w:cs="宋体"/>
          <w:b/>
          <w:bCs/>
          <w:kern w:val="2"/>
          <w:sz w:val="44"/>
          <w:szCs w:val="44"/>
          <w:lang w:bidi="ar"/>
        </w:rPr>
        <w:t>授权书</w:t>
      </w:r>
    </w:p>
    <w:p w14:paraId="3AA90359">
      <w:pPr>
        <w:spacing w:line="312" w:lineRule="auto"/>
        <w:jc w:val="center"/>
        <w:rPr>
          <w:rFonts w:hint="eastAsia" w:ascii="宋体" w:hAnsi="宋体" w:eastAsia="宋体" w:cs="宋体"/>
          <w:b/>
          <w:bCs/>
          <w:sz w:val="44"/>
          <w:szCs w:val="44"/>
          <w:lang w:bidi="ar"/>
        </w:rPr>
      </w:pPr>
    </w:p>
    <w:p w14:paraId="00F237BD">
      <w:pPr>
        <w:spacing w:after="193" w:afterLines="50" w:line="312" w:lineRule="auto"/>
        <w:ind w:firstLine="560" w:firstLineChars="200"/>
        <w:jc w:val="left"/>
        <w:rPr>
          <w:rFonts w:hint="eastAsia" w:ascii="楷体" w:hAnsi="楷体" w:eastAsia="楷体"/>
          <w:sz w:val="28"/>
          <w:szCs w:val="28"/>
        </w:rPr>
      </w:pPr>
      <w:r>
        <w:rPr>
          <w:rFonts w:hint="eastAsia" w:ascii="楷体" w:hAnsi="楷体" w:eastAsia="楷体" w:cs="楷体"/>
          <w:sz w:val="28"/>
          <w:szCs w:val="28"/>
          <w:lang w:bidi="ar"/>
        </w:rPr>
        <w:t>中国重汽集团国际有限公司</w:t>
      </w:r>
      <w:r>
        <w:rPr>
          <w:rFonts w:ascii="楷体" w:hAnsi="楷体" w:eastAsia="楷体" w:cs="楷体"/>
          <w:sz w:val="28"/>
          <w:szCs w:val="28"/>
          <w:lang w:bidi="ar"/>
        </w:rPr>
        <w:t>：</w:t>
      </w:r>
    </w:p>
    <w:p w14:paraId="67510F4C">
      <w:pPr>
        <w:spacing w:after="193" w:afterLines="50" w:line="312" w:lineRule="auto"/>
        <w:ind w:firstLine="560" w:firstLineChars="200"/>
        <w:jc w:val="left"/>
        <w:rPr>
          <w:rFonts w:hint="eastAsia" w:ascii="楷体" w:hAnsi="楷体" w:eastAsia="楷体"/>
          <w:sz w:val="28"/>
          <w:szCs w:val="28"/>
        </w:rPr>
      </w:pPr>
      <w:r>
        <w:rPr>
          <w:rFonts w:ascii="楷体" w:hAnsi="楷体" w:eastAsia="楷体" w:cs="楷体"/>
          <w:sz w:val="28"/>
          <w:szCs w:val="28"/>
          <w:lang w:bidi="ar"/>
        </w:rPr>
        <w:t>本人（姓名）系（对方单位名称）的法定代表人，现委托（姓名）为我方代理人。代理人根据授权，以我方名义签署合同、处理招标等相关事宜，其一切法律后果均由我方承担。</w:t>
      </w:r>
    </w:p>
    <w:p w14:paraId="2BC4B4F2">
      <w:pPr>
        <w:spacing w:after="193" w:afterLines="50" w:line="312" w:lineRule="auto"/>
        <w:ind w:firstLine="560" w:firstLineChars="200"/>
        <w:jc w:val="left"/>
        <w:rPr>
          <w:rFonts w:hint="eastAsia" w:ascii="楷体" w:hAnsi="楷体" w:eastAsia="楷体"/>
          <w:sz w:val="28"/>
          <w:szCs w:val="28"/>
        </w:rPr>
      </w:pPr>
      <w:r>
        <w:rPr>
          <w:rFonts w:ascii="楷体" w:hAnsi="楷体" w:eastAsia="楷体" w:cs="楷体"/>
          <w:sz w:val="28"/>
          <w:szCs w:val="28"/>
          <w:lang w:bidi="ar"/>
        </w:rPr>
        <w:t>委托期限：</w:t>
      </w:r>
    </w:p>
    <w:p w14:paraId="345E8128">
      <w:pPr>
        <w:spacing w:after="193" w:afterLines="50" w:line="312" w:lineRule="auto"/>
        <w:ind w:firstLine="560" w:firstLineChars="200"/>
        <w:jc w:val="left"/>
        <w:rPr>
          <w:rFonts w:hint="eastAsia" w:ascii="楷体" w:hAnsi="楷体" w:eastAsia="楷体"/>
          <w:sz w:val="28"/>
          <w:szCs w:val="28"/>
        </w:rPr>
      </w:pPr>
      <w:r>
        <w:rPr>
          <w:rFonts w:ascii="楷体" w:hAnsi="楷体" w:eastAsia="楷体" w:cs="楷体"/>
          <w:sz w:val="28"/>
          <w:szCs w:val="28"/>
          <w:lang w:bidi="ar"/>
        </w:rPr>
        <w:t>代理人无转委托权。</w:t>
      </w:r>
    </w:p>
    <w:p w14:paraId="288D9BD2">
      <w:pPr>
        <w:spacing w:after="193" w:afterLines="50" w:line="312" w:lineRule="auto"/>
        <w:ind w:firstLine="560" w:firstLineChars="200"/>
        <w:jc w:val="left"/>
        <w:rPr>
          <w:rFonts w:hint="eastAsia" w:ascii="楷体" w:hAnsi="楷体" w:eastAsia="楷体"/>
          <w:sz w:val="28"/>
          <w:szCs w:val="28"/>
        </w:rPr>
      </w:pPr>
      <w:r>
        <w:rPr>
          <w:rFonts w:ascii="楷体" w:hAnsi="楷体" w:eastAsia="楷体" w:cs="楷体"/>
          <w:sz w:val="28"/>
          <w:szCs w:val="28"/>
          <w:lang w:bidi="ar"/>
        </w:rPr>
        <w:t>附：</w:t>
      </w:r>
      <w:r>
        <w:rPr>
          <w:rFonts w:hint="eastAsia" w:ascii="楷体" w:hAnsi="楷体" w:eastAsia="楷体" w:cs="楷体"/>
          <w:sz w:val="28"/>
          <w:szCs w:val="28"/>
          <w:lang w:bidi="ar"/>
        </w:rPr>
        <w:t>法定代表人及</w:t>
      </w:r>
      <w:r>
        <w:rPr>
          <w:rFonts w:ascii="楷体" w:hAnsi="楷体" w:eastAsia="楷体" w:cs="楷体"/>
          <w:sz w:val="28"/>
          <w:szCs w:val="28"/>
          <w:lang w:bidi="ar"/>
        </w:rPr>
        <w:t>代理人身份证明</w:t>
      </w:r>
    </w:p>
    <w:p w14:paraId="5B9F9B48">
      <w:pPr>
        <w:spacing w:line="312" w:lineRule="auto"/>
        <w:rPr>
          <w:rFonts w:hint="eastAsia" w:ascii="仿宋_GB2312" w:hAnsi="仿宋_GB2312" w:eastAsia="仿宋_GB2312" w:cs="仿宋_GB2312"/>
          <w:b/>
          <w:sz w:val="32"/>
          <w:szCs w:val="32"/>
          <w:lang w:bidi="ar"/>
        </w:rPr>
      </w:pPr>
    </w:p>
    <w:p w14:paraId="15150AC0">
      <w:pPr>
        <w:spacing w:line="312" w:lineRule="auto"/>
        <w:rPr>
          <w:rFonts w:hint="eastAsia" w:ascii="仿宋_GB2312" w:hAnsi="仿宋_GB2312" w:eastAsia="仿宋_GB2312" w:cs="仿宋_GB2312"/>
          <w:sz w:val="32"/>
          <w:szCs w:val="32"/>
        </w:rPr>
      </w:pPr>
    </w:p>
    <w:p w14:paraId="634A294F">
      <w:pPr>
        <w:spacing w:line="312" w:lineRule="auto"/>
        <w:rPr>
          <w:rFonts w:hint="eastAsia" w:ascii="仿宋_GB2312" w:hAnsi="仿宋_GB2312" w:eastAsia="仿宋_GB2312" w:cs="仿宋_GB2312"/>
          <w:sz w:val="32"/>
          <w:szCs w:val="32"/>
        </w:rPr>
      </w:pPr>
    </w:p>
    <w:p w14:paraId="2F1FB96E">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14:paraId="6CC27335">
      <w:pPr>
        <w:pStyle w:val="6"/>
        <w:outlineLvl w:val="2"/>
        <w:rPr>
          <w:rFonts w:hint="eastAsia" w:hAnsi="宋体" w:eastAsia="宋体" w:cs="宋体"/>
          <w:b/>
          <w:bCs/>
          <w:color w:val="000000"/>
          <w:sz w:val="24"/>
          <w:szCs w:val="24"/>
          <w:lang w:val="en-US" w:eastAsia="zh-CN"/>
        </w:rPr>
        <w:sectPr>
          <w:pgSz w:w="11906" w:h="16838"/>
          <w:pgMar w:top="1588" w:right="1418" w:bottom="1134" w:left="1418" w:header="851" w:footer="992" w:gutter="0"/>
          <w:cols w:space="720" w:num="1"/>
          <w:titlePg/>
          <w:docGrid w:type="lines" w:linePitch="312" w:charSpace="0"/>
        </w:sectPr>
      </w:pPr>
    </w:p>
    <w:p w14:paraId="3499DBC9">
      <w:pPr>
        <w:pStyle w:val="6"/>
        <w:outlineLvl w:val="2"/>
        <w:rPr>
          <w:rFonts w:hint="default" w:hAnsi="宋体" w:eastAsia="宋体" w:cs="宋体"/>
          <w:b/>
          <w:bCs/>
          <w:color w:val="000000"/>
          <w:sz w:val="24"/>
          <w:szCs w:val="24"/>
          <w:lang w:val="en-US" w:eastAsia="zh-CN"/>
        </w:rPr>
      </w:pPr>
      <w:r>
        <w:rPr>
          <w:rFonts w:hint="eastAsia" w:hAnsi="宋体" w:eastAsia="宋体" w:cs="宋体"/>
          <w:b/>
          <w:bCs/>
          <w:color w:val="000000"/>
          <w:sz w:val="24"/>
          <w:szCs w:val="24"/>
          <w:lang w:val="en-US" w:eastAsia="zh-CN"/>
        </w:rPr>
        <w:t>附件 保密协议</w:t>
      </w:r>
    </w:p>
    <w:p w14:paraId="0D918D55">
      <w:pPr>
        <w:adjustRightInd w:val="0"/>
        <w:snapToGrid w:val="0"/>
        <w:spacing w:line="360" w:lineRule="auto"/>
        <w:jc w:val="center"/>
        <w:rPr>
          <w:rFonts w:hint="eastAsia" w:ascii="黑体" w:hAnsi="黑体" w:eastAsia="黑体" w:cs="黑体"/>
          <w:bCs/>
          <w:sz w:val="52"/>
          <w:szCs w:val="52"/>
          <w:lang w:val="en-GB"/>
        </w:rPr>
      </w:pPr>
      <w:r>
        <w:rPr>
          <w:rFonts w:hint="eastAsia" w:ascii="黑体" w:hAnsi="黑体" w:eastAsia="黑体" w:cs="黑体"/>
          <w:bCs/>
          <w:sz w:val="52"/>
          <w:szCs w:val="52"/>
          <w:lang w:val="en-GB"/>
        </w:rPr>
        <w:t>保密协议</w:t>
      </w:r>
    </w:p>
    <w:p w14:paraId="23E7AB28">
      <w:pPr>
        <w:adjustRightInd w:val="0"/>
        <w:snapToGrid w:val="0"/>
        <w:spacing w:line="360" w:lineRule="auto"/>
        <w:jc w:val="center"/>
        <w:rPr>
          <w:rFonts w:hint="eastAsia" w:ascii="黑体" w:hAnsi="黑体" w:eastAsia="黑体" w:cs="黑体"/>
          <w:bCs/>
          <w:sz w:val="28"/>
          <w:szCs w:val="28"/>
          <w:lang w:val="en-GB"/>
        </w:rPr>
      </w:pPr>
    </w:p>
    <w:p w14:paraId="099DD6A1">
      <w:pPr>
        <w:adjustRightInd w:val="0"/>
        <w:snapToGrid w:val="0"/>
        <w:spacing w:line="360" w:lineRule="auto"/>
        <w:jc w:val="center"/>
        <w:rPr>
          <w:rFonts w:hint="eastAsia" w:ascii="黑体" w:hAnsi="黑体" w:eastAsia="黑体" w:cs="黑体"/>
          <w:bCs/>
          <w:sz w:val="28"/>
          <w:szCs w:val="28"/>
          <w:lang w:val="en-GB"/>
        </w:rPr>
      </w:pPr>
    </w:p>
    <w:p w14:paraId="073FA1B4">
      <w:pPr>
        <w:adjustRightInd w:val="0"/>
        <w:snapToGrid w:val="0"/>
        <w:spacing w:line="360" w:lineRule="auto"/>
        <w:rPr>
          <w:rFonts w:hint="eastAsia" w:ascii="黑体" w:hAnsi="黑体" w:eastAsia="黑体" w:cs="黑体"/>
          <w:bCs/>
          <w:sz w:val="28"/>
          <w:szCs w:val="28"/>
          <w:lang w:val="en-GB"/>
        </w:rPr>
      </w:pPr>
    </w:p>
    <w:p w14:paraId="2F2B273F">
      <w:pPr>
        <w:adjustRightInd w:val="0"/>
        <w:snapToGrid w:val="0"/>
        <w:spacing w:line="360" w:lineRule="auto"/>
        <w:jc w:val="center"/>
        <w:rPr>
          <w:rFonts w:hint="eastAsia" w:ascii="黑体" w:hAnsi="黑体" w:eastAsia="黑体" w:cs="黑体"/>
          <w:bCs/>
          <w:sz w:val="28"/>
          <w:szCs w:val="28"/>
          <w:lang w:val="en-GB"/>
        </w:rPr>
      </w:pPr>
    </w:p>
    <w:p w14:paraId="258D5FD9">
      <w:pPr>
        <w:adjustRightInd w:val="0"/>
        <w:snapToGrid w:val="0"/>
        <w:spacing w:line="360" w:lineRule="auto"/>
        <w:jc w:val="center"/>
        <w:rPr>
          <w:rFonts w:hint="eastAsia" w:ascii="黑体" w:hAnsi="黑体" w:eastAsia="黑体" w:cs="黑体"/>
          <w:bCs/>
          <w:sz w:val="28"/>
          <w:szCs w:val="28"/>
          <w:lang w:val="en-GB"/>
        </w:rPr>
      </w:pPr>
    </w:p>
    <w:p w14:paraId="3BA2D802">
      <w:pPr>
        <w:adjustRightInd w:val="0"/>
        <w:snapToGrid w:val="0"/>
        <w:spacing w:line="360" w:lineRule="auto"/>
        <w:ind w:firstLine="2520" w:firstLineChars="1050"/>
        <w:rPr>
          <w:rFonts w:hint="eastAsia" w:ascii="黑体" w:hAnsi="黑体" w:eastAsia="黑体" w:cs="黑体"/>
          <w:bCs/>
          <w:sz w:val="24"/>
        </w:rPr>
      </w:pPr>
      <w:r>
        <w:rPr>
          <w:rFonts w:hint="eastAsia" w:ascii="黑体" w:hAnsi="黑体" w:eastAsia="黑体" w:cs="黑体"/>
          <w:bCs/>
          <w:sz w:val="24"/>
          <w:lang w:val="en-GB"/>
        </w:rPr>
        <w:t>甲方：</w:t>
      </w:r>
      <w:r>
        <w:rPr>
          <w:rFonts w:hint="eastAsia" w:ascii="黑体" w:hAnsi="黑体" w:eastAsia="黑体" w:cs="黑体"/>
          <w:bCs/>
          <w:sz w:val="24"/>
        </w:rPr>
        <w:t>中国重汽集团国际有限公司</w:t>
      </w:r>
    </w:p>
    <w:p w14:paraId="714585D6">
      <w:pPr>
        <w:adjustRightInd w:val="0"/>
        <w:snapToGrid w:val="0"/>
        <w:spacing w:line="360" w:lineRule="auto"/>
        <w:ind w:firstLine="2660" w:firstLineChars="950"/>
        <w:rPr>
          <w:rFonts w:hint="eastAsia" w:ascii="黑体" w:hAnsi="黑体" w:eastAsia="黑体" w:cs="黑体"/>
          <w:bCs/>
          <w:sz w:val="28"/>
          <w:szCs w:val="28"/>
          <w:lang w:val="en-GB"/>
        </w:rPr>
      </w:pPr>
    </w:p>
    <w:p w14:paraId="132C5D07">
      <w:pPr>
        <w:adjustRightInd w:val="0"/>
        <w:snapToGrid w:val="0"/>
        <w:spacing w:line="360" w:lineRule="auto"/>
        <w:ind w:firstLine="2520" w:firstLineChars="1050"/>
        <w:rPr>
          <w:rFonts w:hint="eastAsia" w:ascii="方正小标宋简体" w:hAnsi="黑体" w:eastAsia="方正小标宋简体"/>
          <w:bCs/>
          <w:sz w:val="24"/>
          <w:lang w:val="en-GB"/>
        </w:rPr>
      </w:pPr>
      <w:r>
        <w:rPr>
          <w:rFonts w:hint="eastAsia" w:ascii="黑体" w:hAnsi="黑体" w:eastAsia="黑体" w:cs="黑体"/>
          <w:bCs/>
          <w:sz w:val="24"/>
          <w:lang w:val="en-GB"/>
        </w:rPr>
        <w:t>乙方：_________________________</w:t>
      </w:r>
    </w:p>
    <w:p w14:paraId="27F999CE">
      <w:pPr>
        <w:widowControl/>
        <w:jc w:val="left"/>
        <w:rPr>
          <w:rFonts w:hint="eastAsia" w:asciiTheme="minorEastAsia" w:hAnsiTheme="minorEastAsia" w:cstheme="minorEastAsia"/>
          <w:b/>
          <w:bCs/>
          <w:sz w:val="22"/>
        </w:rPr>
      </w:pPr>
    </w:p>
    <w:p w14:paraId="2D8E3985">
      <w:pPr>
        <w:spacing w:line="360" w:lineRule="auto"/>
        <w:rPr>
          <w:rFonts w:hint="eastAsia" w:ascii="仿宋_GB2312" w:eastAsia="仿宋_GB2312" w:hAnsiTheme="minorEastAsia" w:cstheme="minorEastAsia"/>
          <w:sz w:val="24"/>
        </w:rPr>
      </w:pPr>
    </w:p>
    <w:p w14:paraId="44417A4F">
      <w:pPr>
        <w:spacing w:line="360" w:lineRule="auto"/>
        <w:rPr>
          <w:rFonts w:hint="eastAsia" w:ascii="仿宋_GB2312" w:eastAsia="仿宋_GB2312" w:hAnsiTheme="minorEastAsia" w:cstheme="minorEastAsia"/>
          <w:sz w:val="24"/>
        </w:rPr>
      </w:pPr>
    </w:p>
    <w:p w14:paraId="1EFDFE1F">
      <w:pPr>
        <w:spacing w:line="360" w:lineRule="auto"/>
        <w:rPr>
          <w:rFonts w:hint="eastAsia" w:ascii="仿宋_GB2312" w:eastAsia="仿宋_GB2312" w:hAnsiTheme="minorEastAsia" w:cstheme="minorEastAsia"/>
          <w:sz w:val="24"/>
        </w:rPr>
      </w:pPr>
    </w:p>
    <w:p w14:paraId="110AA170">
      <w:pPr>
        <w:spacing w:line="360" w:lineRule="auto"/>
        <w:rPr>
          <w:rFonts w:hint="eastAsia" w:ascii="仿宋_GB2312" w:eastAsia="仿宋_GB2312" w:hAnsiTheme="minorEastAsia" w:cstheme="minorEastAsia"/>
          <w:sz w:val="24"/>
        </w:rPr>
      </w:pPr>
      <w:r>
        <w:rPr>
          <w:rFonts w:hint="eastAsia" w:ascii="仿宋_GB2312" w:eastAsia="仿宋_GB2312" w:hAnsiTheme="minorEastAsia" w:cstheme="minorEastAsia"/>
          <w:sz w:val="24"/>
        </w:rPr>
        <w:t>本协议由以下双方于</w:t>
      </w:r>
      <w:r>
        <w:rPr>
          <w:rFonts w:hint="eastAsia" w:ascii="仿宋_GB2312" w:eastAsia="仿宋_GB2312" w:hAnsiTheme="minorEastAsia" w:cstheme="minorEastAsia"/>
          <w:sz w:val="24"/>
          <w:u w:val="single"/>
        </w:rPr>
        <w:t>山东济南</w:t>
      </w:r>
      <w:r>
        <w:rPr>
          <w:rFonts w:hint="eastAsia" w:ascii="仿宋_GB2312" w:eastAsia="仿宋_GB2312" w:hAnsiTheme="minorEastAsia" w:cstheme="minorEastAsia"/>
          <w:sz w:val="24"/>
        </w:rPr>
        <w:t>共同签署：</w:t>
      </w:r>
    </w:p>
    <w:p w14:paraId="5FE005AD">
      <w:pPr>
        <w:spacing w:line="360" w:lineRule="auto"/>
        <w:rPr>
          <w:rFonts w:hint="eastAsia" w:ascii="仿宋_GB2312" w:hAnsi="宋体" w:eastAsia="仿宋_GB2312" w:cs="宋体"/>
          <w:sz w:val="24"/>
        </w:rPr>
      </w:pPr>
      <w:r>
        <w:rPr>
          <w:rFonts w:hint="eastAsia" w:ascii="仿宋_GB2312" w:hAnsi="宋体" w:eastAsia="仿宋_GB2312" w:cs="宋体"/>
          <w:sz w:val="24"/>
        </w:rPr>
        <w:t>甲方：中国重汽集团</w:t>
      </w:r>
      <w:r>
        <w:rPr>
          <w:rFonts w:hint="eastAsia" w:ascii="仿宋_GB2312" w:hAnsi="宋体" w:eastAsia="仿宋_GB2312" w:cs="宋体"/>
          <w:sz w:val="24"/>
          <w:u w:val="single"/>
        </w:rPr>
        <w:t>国际</w:t>
      </w:r>
      <w:r>
        <w:rPr>
          <w:rFonts w:hint="eastAsia" w:ascii="仿宋_GB2312" w:hAnsi="宋体" w:eastAsia="仿宋_GB2312" w:cs="宋体"/>
          <w:sz w:val="24"/>
        </w:rPr>
        <w:t>有限公司</w:t>
      </w:r>
    </w:p>
    <w:p w14:paraId="30469C55">
      <w:pPr>
        <w:spacing w:line="360" w:lineRule="auto"/>
        <w:rPr>
          <w:rFonts w:hint="eastAsia" w:ascii="仿宋_GB2312" w:hAnsi="宋体" w:eastAsia="仿宋_GB2312" w:cs="宋体"/>
          <w:sz w:val="24"/>
        </w:rPr>
      </w:pPr>
      <w:r>
        <w:rPr>
          <w:rFonts w:hint="eastAsia" w:ascii="仿宋_GB2312" w:hAnsi="宋体" w:eastAsia="仿宋_GB2312" w:cs="宋体"/>
          <w:sz w:val="24"/>
        </w:rPr>
        <w:t>公司住所：山东省济南市高新区华奥路777号中国重汽科技大厦</w:t>
      </w:r>
    </w:p>
    <w:p w14:paraId="1FE84498">
      <w:pPr>
        <w:spacing w:line="360" w:lineRule="auto"/>
        <w:rPr>
          <w:rFonts w:hint="eastAsia" w:ascii="仿宋_GB2312" w:hAnsi="宋体" w:eastAsia="仿宋_GB2312" w:cs="宋体"/>
          <w:sz w:val="24"/>
        </w:rPr>
      </w:pPr>
      <w:r>
        <w:rPr>
          <w:rFonts w:hint="eastAsia" w:ascii="仿宋_GB2312" w:hAnsi="宋体" w:eastAsia="仿宋_GB2312" w:cs="宋体"/>
          <w:sz w:val="24"/>
        </w:rPr>
        <w:t>法定代表人：赵华</w:t>
      </w:r>
    </w:p>
    <w:p w14:paraId="2C9C3B49">
      <w:pPr>
        <w:spacing w:line="360" w:lineRule="auto"/>
        <w:rPr>
          <w:rFonts w:hint="eastAsia" w:ascii="仿宋_GB2312" w:hAnsi="宋体" w:eastAsia="仿宋_GB2312" w:cs="宋体"/>
          <w:sz w:val="24"/>
        </w:rPr>
      </w:pPr>
    </w:p>
    <w:p w14:paraId="009B1E9D">
      <w:pPr>
        <w:spacing w:line="360" w:lineRule="auto"/>
        <w:rPr>
          <w:rFonts w:hint="eastAsia" w:ascii="仿宋_GB2312" w:hAnsi="宋体" w:eastAsia="仿宋_GB2312" w:cs="宋体"/>
          <w:sz w:val="24"/>
        </w:rPr>
      </w:pPr>
      <w:r>
        <w:rPr>
          <w:rFonts w:hint="eastAsia" w:ascii="仿宋_GB2312" w:hAnsi="宋体" w:eastAsia="仿宋_GB2312" w:cs="宋体"/>
          <w:sz w:val="24"/>
        </w:rPr>
        <w:t>乙方：</w:t>
      </w:r>
    </w:p>
    <w:p w14:paraId="59F21E43">
      <w:pPr>
        <w:spacing w:line="360" w:lineRule="auto"/>
        <w:rPr>
          <w:rFonts w:hint="eastAsia" w:ascii="仿宋_GB2312" w:hAnsi="宋体" w:eastAsia="仿宋_GB2312" w:cs="宋体"/>
          <w:sz w:val="24"/>
        </w:rPr>
      </w:pPr>
      <w:r>
        <w:rPr>
          <w:rFonts w:hint="eastAsia" w:ascii="仿宋_GB2312" w:hAnsi="宋体" w:eastAsia="仿宋_GB2312" w:cs="宋体"/>
          <w:sz w:val="24"/>
        </w:rPr>
        <w:t>公司住所：</w:t>
      </w:r>
    </w:p>
    <w:p w14:paraId="387FD725">
      <w:pPr>
        <w:spacing w:line="360" w:lineRule="auto"/>
        <w:rPr>
          <w:rFonts w:hint="eastAsia" w:ascii="仿宋_GB2312" w:hAnsi="宋体" w:eastAsia="仿宋_GB2312" w:cs="宋体"/>
          <w:sz w:val="24"/>
        </w:rPr>
      </w:pPr>
      <w:r>
        <w:rPr>
          <w:rFonts w:hint="eastAsia" w:ascii="仿宋_GB2312" w:hAnsi="宋体" w:eastAsia="仿宋_GB2312" w:cs="宋体"/>
          <w:sz w:val="24"/>
        </w:rPr>
        <w:t>法定代表人：</w:t>
      </w:r>
    </w:p>
    <w:p w14:paraId="1B6D6D7A">
      <w:pPr>
        <w:spacing w:line="360" w:lineRule="auto"/>
        <w:rPr>
          <w:rFonts w:hint="eastAsia" w:ascii="仿宋_GB2312" w:hAnsi="宋体" w:eastAsia="仿宋_GB2312" w:cs="宋体"/>
          <w:sz w:val="24"/>
          <w:lang w:val="en-GB"/>
        </w:rPr>
      </w:pPr>
    </w:p>
    <w:p w14:paraId="500D9C4A">
      <w:pPr>
        <w:spacing w:line="360" w:lineRule="auto"/>
        <w:rPr>
          <w:rFonts w:hint="eastAsia" w:ascii="仿宋_GB2312" w:hAnsi="宋体" w:eastAsia="仿宋_GB2312" w:cs="宋体"/>
          <w:sz w:val="24"/>
          <w:lang w:val="en-GB"/>
        </w:rPr>
      </w:pPr>
    </w:p>
    <w:p w14:paraId="35319ADA">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甲乙双方需开展</w:t>
      </w:r>
      <w:r>
        <w:rPr>
          <w:rFonts w:hint="eastAsia" w:ascii="仿宋_GB2312" w:eastAsia="仿宋_GB2312" w:hAnsiTheme="minorEastAsia" w:cstheme="minorEastAsia"/>
          <w:sz w:val="24"/>
          <w:u w:val="single"/>
        </w:rPr>
        <w:t>山东重工集团2026年汉诺威车展展位搭建项目</w:t>
      </w:r>
      <w:r>
        <w:rPr>
          <w:rFonts w:hint="eastAsia" w:ascii="仿宋_GB2312" w:eastAsia="仿宋_GB2312" w:hAnsiTheme="minorEastAsia" w:cstheme="minorEastAsia"/>
          <w:sz w:val="24"/>
        </w:rPr>
        <w:t>合作。出于该合作目的，甲方已经或将要向乙方提供有关项目的保密信息。经平等协商，双方自愿签订协议如下：</w:t>
      </w:r>
    </w:p>
    <w:p w14:paraId="4B0E5A1D">
      <w:pPr>
        <w:spacing w:line="360" w:lineRule="auto"/>
        <w:ind w:firstLine="560" w:firstLineChars="200"/>
        <w:rPr>
          <w:rFonts w:hint="eastAsia" w:ascii="黑体" w:hAnsi="黑体" w:eastAsia="黑体" w:cstheme="minorEastAsia"/>
          <w:bCs/>
          <w:sz w:val="28"/>
          <w:szCs w:val="28"/>
        </w:rPr>
      </w:pPr>
      <w:r>
        <w:rPr>
          <w:rFonts w:hint="eastAsia" w:ascii="黑体" w:hAnsi="黑体" w:eastAsia="黑体" w:cstheme="minorEastAsia"/>
          <w:bCs/>
          <w:sz w:val="28"/>
          <w:szCs w:val="28"/>
        </w:rPr>
        <w:t>第一条定义</w:t>
      </w:r>
    </w:p>
    <w:p w14:paraId="00A3D7DE">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1、“保密信息”指甲方现在或将来向乙方提供的</w:t>
      </w:r>
      <w:r>
        <w:rPr>
          <w:rFonts w:hint="eastAsia" w:ascii="仿宋_GB2312" w:eastAsia="仿宋_GB2312" w:hAnsiTheme="minorEastAsia" w:cstheme="minorEastAsia"/>
          <w:sz w:val="24"/>
          <w:lang w:val="en-GB"/>
        </w:rPr>
        <w:t>与本协议有关的任何信息和数据，包括但不限于任何类型的</w:t>
      </w:r>
      <w:r>
        <w:rPr>
          <w:rFonts w:hint="eastAsia" w:ascii="仿宋_GB2312" w:eastAsia="仿宋_GB2312" w:hAnsiTheme="minorEastAsia" w:cstheme="minorEastAsia"/>
          <w:sz w:val="24"/>
        </w:rPr>
        <w:t>经营信息、技术信息</w:t>
      </w:r>
      <w:r>
        <w:rPr>
          <w:rFonts w:hint="eastAsia" w:ascii="仿宋_GB2312" w:eastAsia="仿宋_GB2312" w:hAnsiTheme="minorEastAsia" w:cstheme="minorEastAsia"/>
          <w:sz w:val="24"/>
          <w:lang w:val="en-GB"/>
        </w:rPr>
        <w:t>、</w:t>
      </w:r>
      <w:r>
        <w:rPr>
          <w:rFonts w:hint="eastAsia" w:ascii="仿宋_GB2312" w:eastAsia="仿宋_GB2312" w:hAnsiTheme="minorEastAsia" w:cstheme="minorEastAsia"/>
          <w:sz w:val="24"/>
        </w:rPr>
        <w:t>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w:t>
      </w:r>
    </w:p>
    <w:p w14:paraId="289CFE25">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2、信息提供方：甲方</w:t>
      </w:r>
    </w:p>
    <w:p w14:paraId="29CEA883">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3、信息接收方：乙方</w:t>
      </w:r>
    </w:p>
    <w:p w14:paraId="78236B1D">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4、第三方：指本协议双方之外的任何第三方。</w:t>
      </w:r>
    </w:p>
    <w:p w14:paraId="01D11E9A">
      <w:pPr>
        <w:spacing w:line="360" w:lineRule="auto"/>
        <w:ind w:firstLine="480" w:firstLineChars="200"/>
        <w:rPr>
          <w:rFonts w:hint="eastAsia" w:ascii="仿宋_GB2312" w:eastAsia="仿宋_GB2312" w:hAnsiTheme="minorEastAsia" w:cstheme="minorEastAsia"/>
          <w:sz w:val="24"/>
        </w:rPr>
      </w:pPr>
      <w:r>
        <w:rPr>
          <w:rFonts w:hint="eastAsia" w:ascii="仿宋_GB2312" w:hAnsi="宋体" w:eastAsia="仿宋_GB2312" w:cs="宋体"/>
          <w:sz w:val="24"/>
        </w:rPr>
        <w:t>5、</w:t>
      </w:r>
      <w:r>
        <w:rPr>
          <w:rFonts w:hint="eastAsia" w:ascii="仿宋_GB2312" w:hAnsi="宋体" w:eastAsia="仿宋_GB2312" w:cs="宋体"/>
          <w:sz w:val="24"/>
          <w:lang w:val="en-GB"/>
        </w:rPr>
        <w:t>关联</w:t>
      </w:r>
      <w:r>
        <w:rPr>
          <w:rFonts w:hint="eastAsia" w:ascii="仿宋_GB2312" w:hAnsi="宋体" w:eastAsia="仿宋_GB2312" w:cs="宋体"/>
          <w:sz w:val="24"/>
        </w:rPr>
        <w:t>公司</w:t>
      </w:r>
      <w:r>
        <w:rPr>
          <w:rFonts w:hint="eastAsia" w:ascii="仿宋_GB2312" w:hAnsi="宋体" w:eastAsia="仿宋_GB2312" w:cs="宋体"/>
          <w:sz w:val="24"/>
          <w:lang w:val="en-GB"/>
        </w:rPr>
        <w:t>：直接或间接控制</w:t>
      </w:r>
      <w:r>
        <w:rPr>
          <w:rFonts w:hint="eastAsia" w:ascii="仿宋_GB2312" w:hAnsi="宋体" w:eastAsia="仿宋_GB2312" w:cs="宋体"/>
          <w:sz w:val="24"/>
        </w:rPr>
        <w:t>一</w:t>
      </w:r>
      <w:r>
        <w:rPr>
          <w:rFonts w:hint="eastAsia" w:ascii="仿宋_GB2312" w:hAnsi="宋体" w:eastAsia="仿宋_GB2312" w:cs="宋体"/>
          <w:sz w:val="24"/>
          <w:lang w:val="en-GB"/>
        </w:rPr>
        <w:t>方，或者受控于</w:t>
      </w:r>
      <w:r>
        <w:rPr>
          <w:rFonts w:hint="eastAsia" w:ascii="仿宋_GB2312" w:hAnsi="宋体" w:eastAsia="仿宋_GB2312" w:cs="宋体"/>
          <w:sz w:val="24"/>
        </w:rPr>
        <w:t>该</w:t>
      </w:r>
      <w:r>
        <w:rPr>
          <w:rFonts w:hint="eastAsia" w:ascii="仿宋_GB2312" w:hAnsi="宋体" w:eastAsia="仿宋_GB2312" w:cs="宋体"/>
          <w:sz w:val="24"/>
          <w:lang w:val="en-GB"/>
        </w:rPr>
        <w:t>方，或者与</w:t>
      </w:r>
      <w:r>
        <w:rPr>
          <w:rFonts w:hint="eastAsia" w:ascii="仿宋_GB2312" w:hAnsi="宋体" w:eastAsia="仿宋_GB2312" w:cs="宋体"/>
          <w:sz w:val="24"/>
        </w:rPr>
        <w:t>该</w:t>
      </w:r>
      <w:r>
        <w:rPr>
          <w:rFonts w:hint="eastAsia" w:ascii="仿宋_GB2312" w:hAnsi="宋体" w:eastAsia="仿宋_GB2312" w:cs="宋体"/>
          <w:sz w:val="24"/>
          <w:lang w:val="en-GB"/>
        </w:rPr>
        <w:t>方共同处于控制之下的任何</w:t>
      </w:r>
      <w:r>
        <w:rPr>
          <w:rFonts w:hint="eastAsia" w:ascii="仿宋_GB2312" w:eastAsia="仿宋_GB2312" w:hAnsiTheme="minorEastAsia" w:cstheme="minorEastAsia"/>
          <w:sz w:val="24"/>
        </w:rPr>
        <w:t>第三方。</w:t>
      </w:r>
    </w:p>
    <w:p w14:paraId="4E8FBAC2">
      <w:pPr>
        <w:spacing w:line="360" w:lineRule="auto"/>
        <w:ind w:firstLine="560" w:firstLineChars="200"/>
        <w:rPr>
          <w:rFonts w:hint="eastAsia" w:ascii="黑体" w:hAnsi="黑体" w:eastAsia="黑体" w:cstheme="minorEastAsia"/>
          <w:bCs/>
          <w:sz w:val="28"/>
          <w:szCs w:val="28"/>
        </w:rPr>
      </w:pPr>
      <w:r>
        <w:rPr>
          <w:rFonts w:hint="eastAsia" w:ascii="黑体" w:hAnsi="黑体" w:eastAsia="黑体" w:cstheme="minorEastAsia"/>
          <w:bCs/>
          <w:sz w:val="28"/>
          <w:szCs w:val="28"/>
        </w:rPr>
        <w:t>第二条保密信息的提供</w:t>
      </w:r>
    </w:p>
    <w:p w14:paraId="7AFC82E3">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1、本协议所述之保密信息均由协议双方为洽谈合作事项之目的而提供。</w:t>
      </w:r>
    </w:p>
    <w:p w14:paraId="44362A36">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2、保密信息的所有权及知识产权归属于甲方或甲方具有合法来源。</w:t>
      </w:r>
    </w:p>
    <w:p w14:paraId="6CFE3B3F">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3、本协议任何条款均不视为将保密信息的所有权和其他权利转让给乙方。</w:t>
      </w:r>
    </w:p>
    <w:p w14:paraId="7033D3B9">
      <w:pPr>
        <w:spacing w:line="360" w:lineRule="auto"/>
        <w:ind w:firstLine="560" w:firstLineChars="200"/>
        <w:rPr>
          <w:rFonts w:hint="eastAsia" w:ascii="黑体" w:hAnsi="黑体" w:eastAsia="黑体" w:cstheme="minorEastAsia"/>
          <w:bCs/>
          <w:sz w:val="28"/>
          <w:szCs w:val="28"/>
        </w:rPr>
      </w:pPr>
      <w:r>
        <w:rPr>
          <w:rFonts w:hint="eastAsia" w:ascii="黑体" w:hAnsi="黑体" w:eastAsia="黑体" w:cstheme="minorEastAsia"/>
          <w:bCs/>
          <w:sz w:val="28"/>
          <w:szCs w:val="28"/>
        </w:rPr>
        <w:t>第三条保密义务</w:t>
      </w:r>
    </w:p>
    <w:p w14:paraId="0F4E5985">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1、乙方仅能将甲方提供的保密信息用于本协议所约定的项目并承担保密义务。</w:t>
      </w:r>
    </w:p>
    <w:p w14:paraId="4BCCF9CA">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2、乙方将采取有效措施使用甲方提供的保密信息，只将该等保密信息提供给本方负责决策或实施合作事项的具体参与人员，乙方及其相关人员不得以任何方式或形式散布、披露或传播给该范围以外的人（包括乙方关联机构），也不得允许任何保密信息被泄露、被披露、被交流。</w:t>
      </w:r>
    </w:p>
    <w:p w14:paraId="11979640">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3、如果乙方为项目需要，而不得不向该第三方披露保密信息，则乙方应事先从甲方得到书面同意。乙方应在披露保密信息之前，按照与本协议相同的保护程度与该第三方签署一份保密协议。若上述第三方（包括其股东、高管、雇员）发生泄密，乙方应与该第三方承担连带责任。</w:t>
      </w:r>
    </w:p>
    <w:p w14:paraId="7F6BBCE2">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4、如乙方得悉甲方的任何保密信息遭到侵犯或疑似侵权，乙方应立即通知甲方。如果甲方决定就侵权行为进行起诉，或以其他方式停止或阻止该实际或可能发生的侵权行为，乙方应尽最大限度予以协助。</w:t>
      </w:r>
    </w:p>
    <w:p w14:paraId="633A2DAC">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5、乙方不得在世界任何地方就保密信息进行升级、变更和/或改进，亦不得直接或间接提交或促使提交专利或著作权或其他权利的申请，也不得以其名义取得或促使以其他人名义取得任何专利或其他权利注册。</w:t>
      </w:r>
    </w:p>
    <w:p w14:paraId="49F71E30">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6、乙方应遵从甲方不时发出的有关使用、处理和保管保密信息的任何指令或政策，并按照甲方的要求将本协议项下保密信息的使用情况向甲方汇报。</w:t>
      </w:r>
    </w:p>
    <w:p w14:paraId="284DF733">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7、乙方不得为第三方利益使用保密信息，不得非为实现双方合作目的使用保密信息，不得对保密信息采取任何反向工程、反向编译或反向分解等行为。</w:t>
      </w:r>
    </w:p>
    <w:p w14:paraId="5211183F">
      <w:pPr>
        <w:spacing w:line="360" w:lineRule="auto"/>
        <w:ind w:firstLine="480" w:firstLineChars="200"/>
        <w:rPr>
          <w:rFonts w:hint="eastAsia" w:ascii="仿宋_GB2312" w:eastAsia="仿宋_GB2312" w:hAnsiTheme="minorEastAsia" w:cstheme="minorEastAsia"/>
          <w:sz w:val="24"/>
          <w:highlight w:val="yellow"/>
        </w:rPr>
      </w:pPr>
      <w:r>
        <w:rPr>
          <w:rFonts w:hint="eastAsia" w:ascii="仿宋_GB2312" w:eastAsia="仿宋_GB2312" w:hAnsiTheme="minorEastAsia" w:cstheme="minorEastAsia"/>
          <w:sz w:val="24"/>
        </w:rPr>
        <w:t>8、双方合作期间形成的与本协议有关的任何信息和数据受本协议约束。</w:t>
      </w:r>
    </w:p>
    <w:p w14:paraId="74DC15FB">
      <w:pPr>
        <w:tabs>
          <w:tab w:val="left" w:pos="567"/>
        </w:tabs>
        <w:spacing w:line="360" w:lineRule="auto"/>
        <w:ind w:firstLine="480" w:firstLineChars="200"/>
        <w:rPr>
          <w:rFonts w:hint="eastAsia" w:ascii="仿宋_GB2312" w:hAnsi="宋体" w:eastAsia="仿宋_GB2312" w:cs="宋体"/>
          <w:sz w:val="24"/>
          <w:lang w:val="en-GB"/>
        </w:rPr>
      </w:pPr>
      <w:r>
        <w:rPr>
          <w:rFonts w:hint="eastAsia" w:ascii="仿宋_GB2312" w:hAnsi="宋体" w:eastAsia="仿宋_GB2312" w:cs="宋体"/>
          <w:sz w:val="24"/>
          <w:lang w:val="en-GB"/>
        </w:rPr>
        <w:t>在本协议签订后，</w:t>
      </w:r>
      <w:r>
        <w:rPr>
          <w:rFonts w:hint="eastAsia" w:ascii="仿宋_GB2312" w:hAnsi="宋体" w:eastAsia="仿宋_GB2312" w:cs="宋体"/>
          <w:sz w:val="24"/>
        </w:rPr>
        <w:t>甲方仅将保密信息向乙</w:t>
      </w:r>
      <w:r>
        <w:rPr>
          <w:rFonts w:hint="eastAsia" w:ascii="仿宋_GB2312" w:hAnsi="宋体" w:eastAsia="仿宋_GB2312" w:cs="宋体"/>
          <w:sz w:val="24"/>
          <w:lang w:val="en-GB"/>
        </w:rPr>
        <w:t>方</w:t>
      </w:r>
      <w:r>
        <w:rPr>
          <w:rFonts w:hint="eastAsia" w:ascii="仿宋_GB2312" w:hAnsi="宋体" w:eastAsia="仿宋_GB2312" w:cs="宋体"/>
          <w:sz w:val="24"/>
        </w:rPr>
        <w:t>指定联系人</w:t>
      </w:r>
      <w:bookmarkStart w:id="2" w:name="OLE_LINK2"/>
      <w:bookmarkStart w:id="3" w:name="OLE_LINK3"/>
      <w:r>
        <w:rPr>
          <w:rFonts w:hint="eastAsia" w:ascii="仿宋_GB2312" w:hAnsi="宋体" w:eastAsia="仿宋_GB2312" w:cs="宋体"/>
          <w:sz w:val="24"/>
        </w:rPr>
        <w:t>：</w:t>
      </w:r>
      <w:bookmarkEnd w:id="2"/>
      <w:bookmarkEnd w:id="3"/>
      <w:r>
        <w:rPr>
          <w:rFonts w:hint="eastAsia" w:ascii="仿宋_GB2312" w:hAnsi="宋体" w:eastAsia="仿宋_GB2312" w:cs="宋体"/>
          <w:sz w:val="24"/>
        </w:rPr>
        <w:t>进行披露，如乙方联系人发生变更，应立即书面通知甲方并做出新的授权。</w:t>
      </w:r>
    </w:p>
    <w:p w14:paraId="3A442A02">
      <w:pPr>
        <w:spacing w:line="360" w:lineRule="auto"/>
        <w:ind w:firstLine="560" w:firstLineChars="200"/>
        <w:rPr>
          <w:rFonts w:hint="eastAsia" w:ascii="黑体" w:hAnsi="黑体" w:eastAsia="黑体" w:cstheme="minorEastAsia"/>
          <w:bCs/>
          <w:sz w:val="28"/>
          <w:szCs w:val="28"/>
        </w:rPr>
      </w:pPr>
      <w:r>
        <w:rPr>
          <w:rFonts w:hint="eastAsia" w:ascii="黑体" w:hAnsi="黑体" w:eastAsia="黑体" w:cstheme="minorEastAsia"/>
          <w:bCs/>
          <w:sz w:val="28"/>
          <w:szCs w:val="28"/>
        </w:rPr>
        <w:t>第四条保密义务的例外</w:t>
      </w:r>
    </w:p>
    <w:p w14:paraId="640C50E3">
      <w:pPr>
        <w:spacing w:line="360" w:lineRule="auto"/>
        <w:ind w:firstLine="480" w:firstLineChars="200"/>
        <w:rPr>
          <w:rFonts w:hint="eastAsia" w:ascii="仿宋_GB2312" w:eastAsia="仿宋_GB2312" w:hAnsiTheme="minorEastAsia" w:cstheme="minorEastAsia"/>
          <w:sz w:val="24"/>
          <w:lang w:val="en-GB"/>
        </w:rPr>
      </w:pPr>
      <w:r>
        <w:rPr>
          <w:rFonts w:hint="eastAsia" w:ascii="仿宋_GB2312" w:eastAsia="仿宋_GB2312" w:hAnsiTheme="minorEastAsia" w:cstheme="minorEastAsia"/>
          <w:sz w:val="24"/>
        </w:rPr>
        <w:t>1、</w:t>
      </w:r>
      <w:r>
        <w:rPr>
          <w:rFonts w:hint="eastAsia" w:ascii="仿宋_GB2312" w:eastAsia="仿宋_GB2312" w:hAnsiTheme="minorEastAsia" w:cstheme="minorEastAsia"/>
          <w:sz w:val="24"/>
          <w:lang w:val="en-GB"/>
        </w:rPr>
        <w:t>根据有关法律或有管辖权的法院、仲裁机构、交易所或政府机构</w:t>
      </w:r>
      <w:r>
        <w:rPr>
          <w:rFonts w:hint="eastAsia" w:ascii="仿宋_GB2312" w:eastAsia="仿宋_GB2312" w:hAnsiTheme="minorEastAsia" w:cstheme="minorEastAsia"/>
          <w:sz w:val="24"/>
        </w:rPr>
        <w:t>的</w:t>
      </w:r>
      <w:r>
        <w:rPr>
          <w:rFonts w:hint="eastAsia" w:ascii="仿宋_GB2312" w:eastAsia="仿宋_GB2312" w:hAnsiTheme="minorEastAsia" w:cstheme="minorEastAsia"/>
          <w:sz w:val="24"/>
          <w:lang w:val="en-GB"/>
        </w:rPr>
        <w:t>要求而披露保密信息。</w:t>
      </w:r>
    </w:p>
    <w:p w14:paraId="4787FD37">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2、事先取得甲方书面同意而公开的信息。</w:t>
      </w:r>
    </w:p>
    <w:p w14:paraId="4709FE46">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披露该等保密信息之前，乙方应当立即通知甲方，并提供有关该等命令的通知，协同甲方采取有效措施防范风险。</w:t>
      </w:r>
    </w:p>
    <w:p w14:paraId="656C8E5B">
      <w:pPr>
        <w:spacing w:line="360" w:lineRule="auto"/>
        <w:ind w:firstLine="560" w:firstLineChars="200"/>
        <w:rPr>
          <w:rFonts w:hint="eastAsia" w:ascii="黑体" w:hAnsi="黑体" w:eastAsia="黑体" w:cstheme="minorEastAsia"/>
          <w:bCs/>
          <w:sz w:val="28"/>
          <w:szCs w:val="28"/>
        </w:rPr>
      </w:pPr>
      <w:r>
        <w:rPr>
          <w:rFonts w:hint="eastAsia" w:ascii="黑体" w:hAnsi="黑体" w:eastAsia="黑体" w:cstheme="minorEastAsia"/>
          <w:bCs/>
          <w:sz w:val="28"/>
          <w:szCs w:val="28"/>
        </w:rPr>
        <w:t>第五条保密信息的返还</w:t>
      </w:r>
    </w:p>
    <w:p w14:paraId="109E2B7A">
      <w:pPr>
        <w:tabs>
          <w:tab w:val="left" w:pos="990"/>
        </w:tabs>
        <w:spacing w:line="360" w:lineRule="auto"/>
        <w:ind w:firstLine="480" w:firstLineChars="200"/>
        <w:rPr>
          <w:rFonts w:hint="eastAsia" w:ascii="仿宋_GB2312" w:hAnsi="宋体" w:eastAsia="仿宋_GB2312" w:cs="宋体"/>
          <w:sz w:val="24"/>
        </w:rPr>
      </w:pPr>
      <w:r>
        <w:rPr>
          <w:rFonts w:hint="eastAsia" w:ascii="仿宋_GB2312" w:eastAsia="仿宋_GB2312" w:hAnsiTheme="minorEastAsia" w:cstheme="minorEastAsia"/>
          <w:sz w:val="24"/>
        </w:rPr>
        <w:t>根据</w:t>
      </w:r>
      <w:r>
        <w:rPr>
          <w:rFonts w:hint="eastAsia" w:ascii="仿宋_GB2312" w:hAnsi="宋体" w:eastAsia="仿宋_GB2312" w:cs="宋体"/>
          <w:sz w:val="24"/>
        </w:rPr>
        <w:t>甲方要求或乙方违约时</w:t>
      </w:r>
      <w:r>
        <w:rPr>
          <w:rFonts w:hint="eastAsia" w:ascii="仿宋_GB2312" w:hAnsi="宋体" w:eastAsia="仿宋_GB2312" w:cs="宋体"/>
          <w:sz w:val="24"/>
          <w:lang w:val="en-GB"/>
        </w:rPr>
        <w:t>，</w:t>
      </w:r>
      <w:r>
        <w:rPr>
          <w:rFonts w:hint="eastAsia" w:ascii="仿宋_GB2312" w:hAnsi="宋体" w:eastAsia="仿宋_GB2312" w:cs="宋体"/>
          <w:sz w:val="24"/>
        </w:rPr>
        <w:t>乙方应</w:t>
      </w:r>
      <w:r>
        <w:rPr>
          <w:rFonts w:hint="eastAsia" w:ascii="仿宋_GB2312" w:hAnsi="宋体" w:eastAsia="仿宋_GB2312" w:cs="宋体"/>
          <w:sz w:val="24"/>
          <w:lang w:val="en-GB"/>
        </w:rPr>
        <w:t>立即</w:t>
      </w:r>
      <w:r>
        <w:rPr>
          <w:rFonts w:hint="eastAsia" w:ascii="仿宋_GB2312" w:hAnsi="宋体" w:eastAsia="仿宋_GB2312" w:cs="宋体"/>
          <w:sz w:val="24"/>
        </w:rPr>
        <w:t>在甲方要求的时间内</w:t>
      </w:r>
      <w:r>
        <w:rPr>
          <w:rFonts w:hint="eastAsia" w:ascii="仿宋_GB2312" w:hAnsi="宋体" w:eastAsia="仿宋_GB2312" w:cs="宋体"/>
          <w:sz w:val="24"/>
          <w:lang w:val="en-GB"/>
        </w:rPr>
        <w:t>向甲方返还所有保密信息并不得保存副本，</w:t>
      </w:r>
      <w:r>
        <w:rPr>
          <w:rFonts w:hint="eastAsia" w:ascii="仿宋_GB2312" w:hAnsi="宋体" w:eastAsia="仿宋_GB2312" w:cs="宋体"/>
          <w:sz w:val="24"/>
        </w:rPr>
        <w:t>包括但不限于储存于</w:t>
      </w:r>
      <w:r>
        <w:rPr>
          <w:rFonts w:hint="eastAsia" w:ascii="仿宋_GB2312" w:hAnsi="宋体" w:eastAsia="仿宋_GB2312" w:cs="宋体"/>
          <w:sz w:val="24"/>
          <w:lang w:val="en-GB"/>
        </w:rPr>
        <w:t>计算机磁盘、CD-ROM驱动、CD-ROM、硬盘、软件或任何纸质媒介的材料</w:t>
      </w:r>
      <w:r>
        <w:rPr>
          <w:rFonts w:hint="eastAsia" w:ascii="仿宋_GB2312" w:hAnsi="宋体" w:eastAsia="仿宋_GB2312" w:cs="宋体"/>
          <w:sz w:val="24"/>
        </w:rPr>
        <w:t>及其</w:t>
      </w:r>
      <w:r>
        <w:rPr>
          <w:rFonts w:hint="eastAsia" w:ascii="仿宋_GB2312" w:hAnsi="宋体" w:eastAsia="仿宋_GB2312" w:cs="宋体"/>
          <w:sz w:val="24"/>
          <w:lang w:val="en-GB"/>
        </w:rPr>
        <w:t>备份。</w:t>
      </w:r>
      <w:r>
        <w:rPr>
          <w:rFonts w:hint="eastAsia" w:ascii="仿宋_GB2312" w:hAnsi="宋体" w:eastAsia="仿宋_GB2312" w:cs="宋体"/>
          <w:sz w:val="24"/>
        </w:rPr>
        <w:t>因</w:t>
      </w:r>
      <w:r>
        <w:rPr>
          <w:rFonts w:hint="eastAsia" w:ascii="仿宋_GB2312" w:hAnsi="宋体" w:eastAsia="仿宋_GB2312" w:cs="宋体"/>
          <w:sz w:val="24"/>
          <w:lang w:val="en-GB"/>
        </w:rPr>
        <w:t>保密信息载体及保密信息介质的特性导致客观上无法返还甲方的，乙方应当于甲方要求的时间内将载有保密信息的载体或介质销毁，或对其进行处理使其不具有保密信息保存和传递功能，以达到乙方不保存任何保密信息的目的，</w:t>
      </w:r>
      <w:r>
        <w:rPr>
          <w:rFonts w:hint="eastAsia" w:ascii="仿宋_GB2312" w:hAnsi="宋体" w:eastAsia="仿宋_GB2312" w:cs="宋体"/>
          <w:sz w:val="24"/>
        </w:rPr>
        <w:t>同时乙方应</w:t>
      </w:r>
      <w:r>
        <w:rPr>
          <w:rFonts w:hint="eastAsia" w:ascii="仿宋_GB2312" w:hAnsi="宋体" w:eastAsia="仿宋_GB2312" w:cs="宋体"/>
          <w:sz w:val="24"/>
          <w:lang w:val="en-GB"/>
        </w:rPr>
        <w:t>向</w:t>
      </w:r>
      <w:r>
        <w:rPr>
          <w:rFonts w:hint="eastAsia" w:ascii="仿宋_GB2312" w:hAnsi="宋体" w:eastAsia="仿宋_GB2312" w:cs="宋体"/>
          <w:sz w:val="24"/>
        </w:rPr>
        <w:t>甲</w:t>
      </w:r>
      <w:r>
        <w:rPr>
          <w:rFonts w:hint="eastAsia" w:ascii="仿宋_GB2312" w:hAnsi="宋体" w:eastAsia="仿宋_GB2312" w:cs="宋体"/>
          <w:sz w:val="24"/>
          <w:lang w:val="en-GB"/>
        </w:rPr>
        <w:t>方出具已经归还或销毁</w:t>
      </w:r>
      <w:r>
        <w:rPr>
          <w:rFonts w:hint="eastAsia" w:ascii="仿宋_GB2312" w:hAnsi="宋体" w:eastAsia="仿宋_GB2312" w:cs="宋体"/>
          <w:sz w:val="24"/>
        </w:rPr>
        <w:t>全部</w:t>
      </w:r>
      <w:r>
        <w:rPr>
          <w:rFonts w:hint="eastAsia" w:ascii="仿宋_GB2312" w:hAnsi="宋体" w:eastAsia="仿宋_GB2312" w:cs="宋体"/>
          <w:sz w:val="24"/>
          <w:lang w:val="en-GB"/>
        </w:rPr>
        <w:t>材料的书面</w:t>
      </w:r>
      <w:r>
        <w:rPr>
          <w:rFonts w:hint="eastAsia" w:ascii="仿宋_GB2312" w:hAnsi="宋体" w:eastAsia="仿宋_GB2312" w:cs="宋体"/>
          <w:sz w:val="24"/>
        </w:rPr>
        <w:t>承诺。</w:t>
      </w:r>
    </w:p>
    <w:p w14:paraId="1EF6A8CF">
      <w:pPr>
        <w:spacing w:line="360" w:lineRule="auto"/>
        <w:ind w:firstLine="560" w:firstLineChars="200"/>
        <w:rPr>
          <w:rFonts w:hint="eastAsia" w:ascii="黑体" w:hAnsi="黑体" w:eastAsia="黑体" w:cstheme="minorEastAsia"/>
          <w:bCs/>
          <w:sz w:val="28"/>
          <w:szCs w:val="28"/>
        </w:rPr>
      </w:pPr>
      <w:r>
        <w:rPr>
          <w:rFonts w:hint="eastAsia" w:ascii="黑体" w:hAnsi="黑体" w:eastAsia="黑体" w:cstheme="minorEastAsia"/>
          <w:bCs/>
          <w:sz w:val="28"/>
          <w:szCs w:val="28"/>
        </w:rPr>
        <w:t>第六条保密期限</w:t>
      </w:r>
    </w:p>
    <w:p w14:paraId="77B6DD98">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除本协议双方另有约定外，本协议的保密期限自甲方提供保密信息之日起至本协议所述保密信息向公众披露或为公众所知悉之日止。</w:t>
      </w:r>
    </w:p>
    <w:p w14:paraId="3D600C9A">
      <w:pPr>
        <w:spacing w:line="360" w:lineRule="auto"/>
        <w:ind w:firstLine="560" w:firstLineChars="200"/>
        <w:rPr>
          <w:rFonts w:hint="eastAsia" w:ascii="黑体" w:hAnsi="黑体" w:eastAsia="黑体" w:cstheme="minorEastAsia"/>
          <w:bCs/>
          <w:sz w:val="28"/>
          <w:szCs w:val="28"/>
        </w:rPr>
      </w:pPr>
      <w:r>
        <w:rPr>
          <w:rFonts w:hint="eastAsia" w:ascii="黑体" w:hAnsi="黑体" w:eastAsia="黑体" w:cstheme="minorEastAsia"/>
          <w:bCs/>
          <w:sz w:val="28"/>
          <w:szCs w:val="28"/>
        </w:rPr>
        <w:t>第七条违约责任</w:t>
      </w:r>
    </w:p>
    <w:p w14:paraId="28D03781">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1、如乙方违反本协议约定，应立即停止使用保密信息。如果乙方董事、监事、高级管理人员、员工、股东、关联机构、代理、顾问、参与项目谈判的人员以及其他利益相关人的行为与本协议相违背，均视为乙方违反本协议。</w:t>
      </w:r>
    </w:p>
    <w:p w14:paraId="56EE153F">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2、双方确认，基于保密信息的性质，乙方任何违反本协议的行为将对甲方造成不可弥补的损害，乙方（包括乙方董事、监事、高级管理人员、员工、股东、关联机构、代理、顾问、参与项目谈判的人员以及其他利益相关人），应当对因违反本协议而给甲方及甲方关联公司造成的全部损失承担赔偿责任及可期待的商业利益损失。</w:t>
      </w:r>
    </w:p>
    <w:p w14:paraId="06B1F35F">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3、在各种情况下，双方一致认为甲方的损失均应被视为最少不低于</w:t>
      </w:r>
      <w:r>
        <w:rPr>
          <w:rFonts w:hint="eastAsia" w:ascii="仿宋_GB2312" w:eastAsia="仿宋_GB2312" w:hAnsiTheme="minorEastAsia" w:cstheme="minorEastAsia"/>
          <w:sz w:val="24"/>
          <w:u w:val="single"/>
        </w:rPr>
        <w:t>叁佰</w:t>
      </w:r>
      <w:r>
        <w:rPr>
          <w:rFonts w:hint="eastAsia" w:ascii="仿宋_GB2312" w:eastAsia="仿宋_GB2312" w:hAnsiTheme="minorEastAsia" w:cstheme="minorEastAsia"/>
          <w:sz w:val="24"/>
        </w:rPr>
        <w:t>万元。</w:t>
      </w:r>
    </w:p>
    <w:p w14:paraId="73D2430C">
      <w:pPr>
        <w:spacing w:line="360" w:lineRule="auto"/>
        <w:ind w:firstLine="480" w:firstLineChars="200"/>
        <w:rPr>
          <w:rFonts w:ascii="仿宋_GB2312" w:eastAsia="仿宋_GB2312"/>
          <w:sz w:val="24"/>
        </w:rPr>
      </w:pPr>
      <w:r>
        <w:rPr>
          <w:rFonts w:hint="eastAsia" w:ascii="仿宋_GB2312" w:eastAsia="仿宋_GB2312" w:hAnsiTheme="minorEastAsia" w:cstheme="minorEastAsia"/>
          <w:sz w:val="24"/>
        </w:rPr>
        <w:t>4、</w:t>
      </w:r>
      <w:r>
        <w:rPr>
          <w:rFonts w:hint="eastAsia" w:ascii="仿宋_GB2312" w:eastAsia="仿宋_GB2312"/>
          <w:sz w:val="24"/>
        </w:rPr>
        <w:t>如乙方违反第三条第5项的约定提交了申请或取得专利或著作权或其他权利注册，则乙方除应按本协议的约定承担违约责任外，还应根据甲方要求，毫不延迟地将该等申请、注册的权利无偿转让给甲方。该等转让或变更涉及所有费用由乙方承担。</w:t>
      </w:r>
    </w:p>
    <w:p w14:paraId="646324C2">
      <w:pPr>
        <w:spacing w:line="360" w:lineRule="auto"/>
        <w:ind w:firstLine="480" w:firstLineChars="200"/>
        <w:rPr>
          <w:rFonts w:ascii="仿宋_GB2312" w:eastAsia="仿宋_GB2312"/>
          <w:sz w:val="24"/>
        </w:rPr>
      </w:pPr>
      <w:r>
        <w:rPr>
          <w:rFonts w:hint="eastAsia" w:ascii="仿宋_GB2312" w:eastAsia="仿宋_GB2312" w:hAnsiTheme="minorEastAsia" w:cstheme="minorEastAsia"/>
          <w:sz w:val="24"/>
        </w:rPr>
        <w:t>5、如果乙方违反本合同约定（含附件，如有）的，除应按本合同约定赔偿损失及违约金外，还应赔偿包括但不限于甲方因此支出的或预计支付的诉讼费、保全申请费、保全保险费、鉴定费、评估费、司法审计费、拍卖费、律师费等一切费用。</w:t>
      </w:r>
    </w:p>
    <w:p w14:paraId="4A861AFD">
      <w:pPr>
        <w:spacing w:line="360" w:lineRule="auto"/>
        <w:ind w:firstLine="560" w:firstLineChars="200"/>
        <w:rPr>
          <w:rFonts w:hint="eastAsia" w:ascii="黑体" w:hAnsi="黑体" w:eastAsia="黑体" w:cstheme="minorEastAsia"/>
          <w:bCs/>
          <w:sz w:val="28"/>
          <w:szCs w:val="28"/>
        </w:rPr>
      </w:pPr>
      <w:r>
        <w:rPr>
          <w:rFonts w:hint="eastAsia" w:ascii="黑体" w:hAnsi="黑体" w:eastAsia="黑体" w:cstheme="minorEastAsia"/>
          <w:bCs/>
          <w:sz w:val="28"/>
          <w:szCs w:val="28"/>
        </w:rPr>
        <w:t>第八条适用法律及争议的解决</w:t>
      </w:r>
    </w:p>
    <w:p w14:paraId="15C6470F">
      <w:pPr>
        <w:tabs>
          <w:tab w:val="left" w:pos="567"/>
        </w:tabs>
        <w:spacing w:line="360" w:lineRule="auto"/>
        <w:ind w:firstLine="480" w:firstLineChars="200"/>
        <w:rPr>
          <w:rFonts w:hint="eastAsia" w:ascii="仿宋_GB2312" w:hAnsi="宋体" w:eastAsia="仿宋_GB2312" w:cs="宋体"/>
          <w:sz w:val="24"/>
          <w:lang w:val="en-GB"/>
        </w:rPr>
      </w:pPr>
      <w:r>
        <w:rPr>
          <w:rFonts w:hint="eastAsia" w:ascii="仿宋_GB2312" w:hAnsi="宋体" w:eastAsia="仿宋_GB2312" w:cs="宋体"/>
          <w:sz w:val="24"/>
          <w:lang w:val="en-GB"/>
        </w:rPr>
        <w:t>本协议受中国现行</w:t>
      </w:r>
      <w:r>
        <w:rPr>
          <w:rFonts w:hint="eastAsia" w:ascii="仿宋_GB2312" w:hAnsi="宋体" w:eastAsia="仿宋_GB2312" w:cs="宋体"/>
          <w:sz w:val="24"/>
        </w:rPr>
        <w:t>有效的法律</w:t>
      </w:r>
      <w:r>
        <w:rPr>
          <w:rFonts w:hint="eastAsia" w:ascii="仿宋_GB2312" w:hAnsi="宋体" w:eastAsia="仿宋_GB2312" w:cs="宋体"/>
          <w:sz w:val="24"/>
          <w:lang w:val="en-GB"/>
        </w:rPr>
        <w:t>管辖，因本协议引起的或与本协议有关的任何争议，应由双方先行协商解决，协商不成的，由甲方所在地法院诉讼解决。</w:t>
      </w:r>
    </w:p>
    <w:p w14:paraId="72A0DA8B">
      <w:pPr>
        <w:spacing w:line="360" w:lineRule="auto"/>
        <w:ind w:firstLine="560" w:firstLineChars="200"/>
        <w:rPr>
          <w:rFonts w:hint="eastAsia" w:ascii="黑体" w:hAnsi="黑体" w:eastAsia="黑体" w:cstheme="minorEastAsia"/>
          <w:bCs/>
          <w:sz w:val="28"/>
          <w:szCs w:val="28"/>
        </w:rPr>
      </w:pPr>
      <w:r>
        <w:rPr>
          <w:rFonts w:hint="eastAsia" w:ascii="黑体" w:hAnsi="黑体" w:eastAsia="黑体" w:cstheme="minorEastAsia"/>
          <w:bCs/>
          <w:sz w:val="28"/>
          <w:szCs w:val="28"/>
        </w:rPr>
        <w:t>第九条继续有效</w:t>
      </w:r>
    </w:p>
    <w:p w14:paraId="1FED0D5F">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如果本协议有任何条款或部分因任何原因被判定为无效或不可执行，本协议其他条款不应受到影响，在法律允许的范围内继续具有完全效力。</w:t>
      </w:r>
    </w:p>
    <w:p w14:paraId="6426A730">
      <w:pPr>
        <w:spacing w:line="360" w:lineRule="auto"/>
        <w:ind w:firstLine="560" w:firstLineChars="200"/>
        <w:rPr>
          <w:rFonts w:hint="eastAsia" w:ascii="仿宋_GB2312" w:eastAsia="仿宋_GB2312" w:hAnsiTheme="minorEastAsia" w:cstheme="minorEastAsia"/>
          <w:sz w:val="24"/>
        </w:rPr>
      </w:pPr>
      <w:r>
        <w:rPr>
          <w:rFonts w:hint="eastAsia" w:ascii="黑体" w:hAnsi="黑体" w:eastAsia="黑体" w:cstheme="minorEastAsia"/>
          <w:bCs/>
          <w:sz w:val="28"/>
          <w:szCs w:val="28"/>
        </w:rPr>
        <w:t>第十条协议生效</w:t>
      </w:r>
    </w:p>
    <w:p w14:paraId="39E8C6B0">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1、协议双方同意，本协议于双方签署之日起生效。但是如果本协议签订前存在甲方向乙方提供保密信息的，也适用本协议。</w:t>
      </w:r>
    </w:p>
    <w:p w14:paraId="321B1725">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2、协议双方对本协议内容的修改或补充，应采用书面形式订立补充协议，补充协议经双方签署生效，成为本协议的有效组成部分、与本协议具有同等法律效力。</w:t>
      </w:r>
    </w:p>
    <w:p w14:paraId="5453ABAD">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3、本协议正本一式三份，甲方执两份，乙方执一份，具有同等法律效力。</w:t>
      </w:r>
    </w:p>
    <w:p w14:paraId="28EDDF65">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兹此，双方已促使本协议由各自正式授权代表签署或加盖双方公章或合同专用章。</w:t>
      </w:r>
    </w:p>
    <w:p w14:paraId="489FED79">
      <w:pPr>
        <w:spacing w:line="360" w:lineRule="auto"/>
        <w:ind w:firstLine="480" w:firstLineChars="200"/>
        <w:rPr>
          <w:rFonts w:hint="eastAsia" w:ascii="仿宋_GB2312" w:eastAsia="仿宋_GB2312" w:hAnsiTheme="minorEastAsia" w:cstheme="minorEastAsia"/>
          <w:sz w:val="24"/>
        </w:rPr>
      </w:pPr>
    </w:p>
    <w:p w14:paraId="3A66153F">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本合同的各签约方选择使用电子签约的，已由法定代表人本人或授权其代理人在电子签约平台进行了实名注册，并通过CA证书进行签约。电子签约的任何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7949E701">
      <w:pPr>
        <w:spacing w:line="360" w:lineRule="auto"/>
        <w:ind w:firstLine="480" w:firstLineChars="200"/>
        <w:rPr>
          <w:rFonts w:hint="eastAsia" w:ascii="仿宋_GB2312" w:eastAsia="仿宋_GB2312" w:hAnsiTheme="minorEastAsia" w:cstheme="minorEastAsia"/>
          <w:sz w:val="24"/>
        </w:rPr>
      </w:pPr>
      <w:r>
        <w:rPr>
          <w:rFonts w:hint="eastAsia" w:ascii="仿宋_GB2312" w:eastAsia="仿宋_GB2312" w:hAnsiTheme="minorEastAsia" w:cstheme="minorEastAsia"/>
          <w:sz w:val="24"/>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232FF864">
      <w:pPr>
        <w:spacing w:line="360" w:lineRule="auto"/>
        <w:ind w:firstLine="480" w:firstLineChars="200"/>
        <w:rPr>
          <w:rFonts w:hint="eastAsia" w:ascii="仿宋_GB2312" w:eastAsia="仿宋_GB2312" w:hAnsiTheme="minorEastAsia" w:cstheme="minorEastAsia"/>
          <w:sz w:val="24"/>
        </w:rPr>
      </w:pPr>
    </w:p>
    <w:p w14:paraId="0258E4E1">
      <w:pPr>
        <w:spacing w:line="360" w:lineRule="auto"/>
        <w:rPr>
          <w:rFonts w:hint="eastAsia" w:ascii="仿宋_GB2312" w:eastAsia="仿宋_GB2312" w:hAnsiTheme="minorEastAsia" w:cstheme="minorEastAsia"/>
          <w:sz w:val="24"/>
        </w:rPr>
      </w:pPr>
      <w:r>
        <w:rPr>
          <w:rFonts w:hint="eastAsia" w:ascii="仿宋_GB2312" w:eastAsia="仿宋_GB2312" w:hAnsiTheme="minorEastAsia" w:cstheme="minorEastAsia"/>
          <w:sz w:val="24"/>
        </w:rPr>
        <w:t>甲方：</w:t>
      </w:r>
      <w:r>
        <w:rPr>
          <w:rFonts w:hint="eastAsia" w:ascii="仿宋_GB2312" w:eastAsia="仿宋_GB2312" w:hAnsiTheme="minorEastAsia" w:cstheme="minorEastAsia"/>
          <w:sz w:val="24"/>
          <w:u w:val="single"/>
        </w:rPr>
        <w:t>中国重汽集团国际有限公司</w:t>
      </w:r>
      <w:r>
        <w:rPr>
          <w:rFonts w:hint="eastAsia" w:ascii="仿宋_GB2312" w:eastAsia="仿宋_GB2312" w:hAnsiTheme="minorEastAsia" w:cstheme="minorEastAsia"/>
          <w:sz w:val="24"/>
        </w:rPr>
        <w:t>（盖章）</w:t>
      </w:r>
    </w:p>
    <w:p w14:paraId="27514955">
      <w:pPr>
        <w:spacing w:line="360" w:lineRule="auto"/>
        <w:rPr>
          <w:rFonts w:hint="eastAsia" w:ascii="仿宋_GB2312" w:eastAsia="仿宋_GB2312" w:hAnsiTheme="minorEastAsia" w:cstheme="minorEastAsia"/>
          <w:sz w:val="24"/>
        </w:rPr>
      </w:pPr>
      <w:r>
        <w:rPr>
          <w:rFonts w:hint="eastAsia" w:ascii="仿宋_GB2312" w:eastAsia="仿宋_GB2312" w:hAnsiTheme="minorEastAsia" w:cstheme="minorEastAsia"/>
          <w:sz w:val="24"/>
        </w:rPr>
        <w:t>法定代表人或授权代表：（签字）</w:t>
      </w:r>
    </w:p>
    <w:p w14:paraId="74770131">
      <w:pPr>
        <w:spacing w:line="360" w:lineRule="auto"/>
        <w:ind w:firstLine="5520" w:firstLineChars="2300"/>
        <w:rPr>
          <w:rFonts w:hint="eastAsia" w:ascii="仿宋_GB2312" w:eastAsia="仿宋_GB2312" w:hAnsiTheme="minorEastAsia" w:cstheme="minorEastAsia"/>
          <w:sz w:val="24"/>
        </w:rPr>
      </w:pPr>
      <w:r>
        <w:rPr>
          <w:rFonts w:hint="eastAsia" w:ascii="仿宋_GB2312" w:eastAsia="仿宋_GB2312" w:hAnsiTheme="minorEastAsia" w:cstheme="minorEastAsia"/>
          <w:sz w:val="24"/>
        </w:rPr>
        <w:t>年   月    日</w:t>
      </w:r>
    </w:p>
    <w:p w14:paraId="1475B84E">
      <w:pPr>
        <w:spacing w:line="360" w:lineRule="auto"/>
        <w:rPr>
          <w:rFonts w:hint="eastAsia" w:ascii="仿宋_GB2312" w:eastAsia="仿宋_GB2312" w:hAnsiTheme="minorEastAsia" w:cstheme="minorEastAsia"/>
          <w:sz w:val="24"/>
        </w:rPr>
      </w:pPr>
    </w:p>
    <w:p w14:paraId="032C336C">
      <w:pPr>
        <w:spacing w:line="360" w:lineRule="auto"/>
        <w:rPr>
          <w:rFonts w:hint="eastAsia" w:ascii="仿宋_GB2312" w:eastAsia="仿宋_GB2312" w:hAnsiTheme="minorEastAsia" w:cstheme="minorEastAsia"/>
          <w:sz w:val="24"/>
        </w:rPr>
      </w:pPr>
      <w:r>
        <w:rPr>
          <w:rFonts w:hint="eastAsia" w:ascii="仿宋_GB2312" w:eastAsia="仿宋_GB2312" w:hAnsiTheme="minorEastAsia" w:cstheme="minorEastAsia"/>
          <w:sz w:val="24"/>
        </w:rPr>
        <w:t>乙方：（盖章）</w:t>
      </w:r>
    </w:p>
    <w:p w14:paraId="51BD7AB8">
      <w:pPr>
        <w:spacing w:line="360" w:lineRule="auto"/>
        <w:rPr>
          <w:rFonts w:hint="eastAsia" w:ascii="仿宋_GB2312" w:eastAsia="仿宋_GB2312" w:hAnsiTheme="minorEastAsia" w:cstheme="minorEastAsia"/>
          <w:sz w:val="24"/>
        </w:rPr>
      </w:pPr>
      <w:r>
        <w:rPr>
          <w:rFonts w:hint="eastAsia" w:ascii="仿宋_GB2312" w:eastAsia="仿宋_GB2312" w:hAnsiTheme="minorEastAsia" w:cstheme="minorEastAsia"/>
          <w:sz w:val="24"/>
        </w:rPr>
        <w:t>法定代表人或授权代表：（签字）</w:t>
      </w:r>
    </w:p>
    <w:p w14:paraId="6D19BF6F">
      <w:pPr>
        <w:spacing w:line="360" w:lineRule="auto"/>
        <w:ind w:firstLine="5520" w:firstLineChars="2300"/>
        <w:rPr>
          <w:rFonts w:hint="eastAsia" w:ascii="仿宋_GB2312" w:eastAsia="仿宋_GB2312" w:hAnsiTheme="minorEastAsia" w:cstheme="minorEastAsia"/>
          <w:sz w:val="24"/>
        </w:rPr>
      </w:pPr>
      <w:r>
        <w:rPr>
          <w:rFonts w:hint="eastAsia" w:ascii="仿宋_GB2312" w:eastAsia="仿宋_GB2312" w:hAnsiTheme="minorEastAsia" w:cstheme="minorEastAsia"/>
          <w:sz w:val="24"/>
        </w:rPr>
        <w:t>年   月    日</w:t>
      </w:r>
    </w:p>
    <w:p w14:paraId="0FD1E6F6">
      <w:pPr>
        <w:rPr>
          <w:rFonts w:hint="eastAsia" w:ascii="宋体" w:hAnsi="宋体" w:cs="宋体"/>
          <w:b/>
          <w:bCs/>
          <w:sz w:val="44"/>
          <w:szCs w:val="44"/>
          <w:lang w:bidi="ar"/>
        </w:rPr>
      </w:pPr>
    </w:p>
    <w:p w14:paraId="7E20E124">
      <w:pPr>
        <w:pStyle w:val="6"/>
        <w:outlineLvl w:val="2"/>
        <w:rPr>
          <w:rFonts w:hint="eastAsia" w:hAnsi="宋体" w:eastAsia="宋体" w:cs="宋体"/>
          <w:b/>
          <w:bCs/>
          <w:color w:val="000000"/>
          <w:sz w:val="24"/>
          <w:szCs w:val="24"/>
          <w:lang w:val="en-US" w:eastAsia="zh-CN"/>
        </w:rPr>
        <w:sectPr>
          <w:pgSz w:w="11906" w:h="16838"/>
          <w:pgMar w:top="1588" w:right="1418" w:bottom="1134" w:left="1418" w:header="851" w:footer="992" w:gutter="0"/>
          <w:cols w:space="720" w:num="1"/>
          <w:titlePg/>
          <w:docGrid w:type="lines" w:linePitch="312" w:charSpace="0"/>
        </w:sectPr>
      </w:pPr>
    </w:p>
    <w:p w14:paraId="1EBA84D7">
      <w:pPr>
        <w:pStyle w:val="6"/>
        <w:outlineLvl w:val="2"/>
        <w:rPr>
          <w:rFonts w:hint="eastAsia" w:hAnsi="宋体" w:eastAsia="宋体" w:cs="宋体"/>
          <w:b/>
          <w:bCs/>
          <w:color w:val="000000"/>
          <w:sz w:val="24"/>
          <w:szCs w:val="24"/>
        </w:rPr>
      </w:pPr>
      <w:r>
        <w:rPr>
          <w:rFonts w:hint="eastAsia" w:hAnsi="宋体" w:eastAsia="宋体" w:cs="宋体"/>
          <w:b/>
          <w:bCs/>
          <w:color w:val="000000"/>
          <w:sz w:val="24"/>
          <w:szCs w:val="24"/>
          <w:lang w:val="en-US" w:eastAsia="zh-CN"/>
        </w:rPr>
        <w:t>附件1：</w:t>
      </w:r>
      <w:r>
        <w:rPr>
          <w:rFonts w:hint="eastAsia" w:hAnsi="宋体" w:eastAsia="宋体" w:cs="宋体"/>
          <w:b/>
          <w:bCs/>
          <w:color w:val="000000"/>
          <w:sz w:val="24"/>
          <w:szCs w:val="24"/>
        </w:rPr>
        <w:t>SRM非生产供应商注册操作手册</w:t>
      </w:r>
    </w:p>
    <w:p w14:paraId="7ED3B1FD">
      <w:pPr>
        <w:pStyle w:val="6"/>
        <w:rPr>
          <w:rFonts w:eastAsia="宋体"/>
        </w:rPr>
      </w:pPr>
    </w:p>
    <w:p w14:paraId="3EE9D9E5">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43B51465">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7643BCE8">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12B13E29">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
                    <a:stretch>
                      <a:fillRect/>
                    </a:stretch>
                  </pic:blipFill>
                  <pic:spPr>
                    <a:xfrm>
                      <a:off x="0" y="0"/>
                      <a:ext cx="5760085" cy="2933377"/>
                    </a:xfrm>
                    <a:prstGeom prst="rect">
                      <a:avLst/>
                    </a:prstGeom>
                  </pic:spPr>
                </pic:pic>
              </a:graphicData>
            </a:graphic>
          </wp:inline>
        </w:drawing>
      </w:r>
    </w:p>
    <w:p w14:paraId="6EBB5DA4">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7E0A0978">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5"/>
                    <a:stretch>
                      <a:fillRect/>
                    </a:stretch>
                  </pic:blipFill>
                  <pic:spPr>
                    <a:xfrm>
                      <a:off x="0" y="0"/>
                      <a:ext cx="5760085" cy="2766707"/>
                    </a:xfrm>
                    <a:prstGeom prst="rect">
                      <a:avLst/>
                    </a:prstGeom>
                  </pic:spPr>
                </pic:pic>
              </a:graphicData>
            </a:graphic>
          </wp:inline>
        </w:drawing>
      </w:r>
    </w:p>
    <w:p w14:paraId="6BB10C6E">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7E5F5181">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6"/>
                    <a:stretch>
                      <a:fillRect/>
                    </a:stretch>
                  </pic:blipFill>
                  <pic:spPr>
                    <a:xfrm>
                      <a:off x="0" y="0"/>
                      <a:ext cx="5760085" cy="2870054"/>
                    </a:xfrm>
                    <a:prstGeom prst="rect">
                      <a:avLst/>
                    </a:prstGeom>
                  </pic:spPr>
                </pic:pic>
              </a:graphicData>
            </a:graphic>
          </wp:inline>
        </w:drawing>
      </w:r>
    </w:p>
    <w:p w14:paraId="09CE7AC5">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3A9BADEA">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7"/>
                    <a:stretch>
                      <a:fillRect/>
                    </a:stretch>
                  </pic:blipFill>
                  <pic:spPr>
                    <a:xfrm>
                      <a:off x="0" y="0"/>
                      <a:ext cx="5760085" cy="2853375"/>
                    </a:xfrm>
                    <a:prstGeom prst="rect">
                      <a:avLst/>
                    </a:prstGeom>
                  </pic:spPr>
                </pic:pic>
              </a:graphicData>
            </a:graphic>
          </wp:inline>
        </w:drawing>
      </w:r>
    </w:p>
    <w:p w14:paraId="40227B41">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3268A431">
      <w:pPr>
        <w:pStyle w:val="6"/>
      </w:pPr>
    </w:p>
    <w:p w14:paraId="20547785">
      <w:pPr>
        <w:rPr>
          <w:rFonts w:hint="eastAsia"/>
        </w:rPr>
      </w:pPr>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8"/>
                    <a:stretch>
                      <a:fillRect/>
                    </a:stretch>
                  </pic:blipFill>
                  <pic:spPr>
                    <a:xfrm>
                      <a:off x="0" y="0"/>
                      <a:ext cx="5760085" cy="2810122"/>
                    </a:xfrm>
                    <a:prstGeom prst="rect">
                      <a:avLst/>
                    </a:prstGeom>
                  </pic:spPr>
                </pic:pic>
              </a:graphicData>
            </a:graphic>
          </wp:inline>
        </w:drawing>
      </w:r>
    </w:p>
    <w:p w14:paraId="2564D118">
      <w:pPr>
        <w:pStyle w:val="6"/>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9"/>
                    <a:stretch>
                      <a:fillRect/>
                    </a:stretch>
                  </pic:blipFill>
                  <pic:spPr>
                    <a:xfrm>
                      <a:off x="0" y="0"/>
                      <a:ext cx="5760085" cy="2820042"/>
                    </a:xfrm>
                    <a:prstGeom prst="rect">
                      <a:avLst/>
                    </a:prstGeom>
                  </pic:spPr>
                </pic:pic>
              </a:graphicData>
            </a:graphic>
          </wp:inline>
        </w:drawing>
      </w:r>
    </w:p>
    <w:p w14:paraId="1E18A332">
      <w:pPr>
        <w:pStyle w:val="6"/>
      </w:pPr>
    </w:p>
    <w:p w14:paraId="1339601F">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4BE53A73">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649D3CC7">
      <w:pPr>
        <w:pStyle w:val="6"/>
      </w:pPr>
      <w:r>
        <w:rPr>
          <w:rFonts w:hint="eastAsia" w:hAnsi="宋体" w:eastAsia="宋体" w:cs="宋体"/>
          <w:b/>
          <w:bCs/>
          <w:color w:val="000000"/>
          <w:sz w:val="24"/>
          <w:szCs w:val="28"/>
          <w:highlight w:val="yellow"/>
        </w:rPr>
        <w:t>2.配套能力“供货类别”填“品牌宣传”，业务主管部门选择“</w:t>
      </w:r>
      <w:r>
        <w:rPr>
          <w:rFonts w:hint="eastAsia" w:hAnsi="宋体" w:eastAsia="宋体" w:cs="宋体"/>
          <w:b/>
          <w:bCs/>
          <w:color w:val="000000"/>
          <w:sz w:val="24"/>
          <w:szCs w:val="28"/>
          <w:highlight w:val="yellow"/>
          <w:lang w:val="en-US" w:eastAsia="zh-CN"/>
        </w:rPr>
        <w:t>品牌与市场管理部</w:t>
      </w:r>
      <w:r>
        <w:rPr>
          <w:rFonts w:hint="eastAsia" w:hAnsi="宋体" w:eastAsia="宋体" w:cs="宋体"/>
          <w:b/>
          <w:bCs/>
          <w:color w:val="000000"/>
          <w:sz w:val="24"/>
          <w:szCs w:val="28"/>
          <w:highlight w:val="yellow"/>
        </w:rPr>
        <w:t>”。</w:t>
      </w:r>
    </w:p>
    <w:p w14:paraId="39BF1441">
      <w:pPr>
        <w:pStyle w:val="6"/>
        <w:sectPr>
          <w:pgSz w:w="11906" w:h="16838"/>
          <w:pgMar w:top="1588" w:right="1418" w:bottom="1134" w:left="1418" w:header="851" w:footer="992" w:gutter="0"/>
          <w:cols w:space="720" w:num="1"/>
          <w:titlePg/>
          <w:docGrid w:type="lines" w:linePitch="312" w:charSpace="0"/>
        </w:sectPr>
      </w:pPr>
    </w:p>
    <w:p w14:paraId="345FF8CE">
      <w:pPr>
        <w:pStyle w:val="6"/>
        <w:outlineLvl w:val="2"/>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2</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44591C9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https://ecaitong.sinotruk.com:8012/</w:t>
      </w:r>
      <w:r>
        <w:rPr>
          <w:rStyle w:val="18"/>
          <w:rFonts w:hint="eastAsia" w:ascii="宋体" w:hAnsi="宋体" w:eastAsia="宋体" w:cs="宋体"/>
          <w:sz w:val="24"/>
          <w:szCs w:val="24"/>
        </w:rPr>
        <w:fldChar w:fldCharType="end"/>
      </w:r>
    </w:p>
    <w:p w14:paraId="5499A196">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1871E9F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5F23FBC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AEACE63">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C74775F">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07A0C2C5">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0"/>
                    <a:stretch>
                      <a:fillRect/>
                    </a:stretch>
                  </pic:blipFill>
                  <pic:spPr>
                    <a:xfrm>
                      <a:off x="0" y="0"/>
                      <a:ext cx="5760085" cy="2269864"/>
                    </a:xfrm>
                    <a:prstGeom prst="rect">
                      <a:avLst/>
                    </a:prstGeom>
                  </pic:spPr>
                </pic:pic>
              </a:graphicData>
            </a:graphic>
          </wp:inline>
        </w:drawing>
      </w:r>
    </w:p>
    <w:p w14:paraId="0675A7EB">
      <w:pPr>
        <w:rPr>
          <w:rFonts w:hint="eastAsia"/>
        </w:rPr>
      </w:pPr>
    </w:p>
    <w:p w14:paraId="38006DB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0CAF80C">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469F0585">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1"/>
                    <a:stretch>
                      <a:fillRect/>
                    </a:stretch>
                  </pic:blipFill>
                  <pic:spPr>
                    <a:xfrm>
                      <a:off x="0" y="0"/>
                      <a:ext cx="5760085" cy="2125673"/>
                    </a:xfrm>
                    <a:prstGeom prst="rect">
                      <a:avLst/>
                    </a:prstGeom>
                  </pic:spPr>
                </pic:pic>
              </a:graphicData>
            </a:graphic>
          </wp:inline>
        </w:drawing>
      </w:r>
    </w:p>
    <w:p w14:paraId="33C3CC47">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9EAECCE">
      <w:pPr>
        <w:pStyle w:val="6"/>
      </w:pPr>
      <w:r>
        <w:rPr>
          <w:rFonts w:hint="eastAsia" w:hAnsi="宋体" w:eastAsia="宋体" w:cs="宋体"/>
          <w:color w:val="000000"/>
          <w:sz w:val="24"/>
          <w:szCs w:val="28"/>
          <w:highlight w:val="yellow"/>
        </w:rPr>
        <w:t>注意：系统内的投标报价单位为“万元”，如开标现场发现填错报价，即直接淘汰。</w:t>
      </w:r>
    </w:p>
    <w:p w14:paraId="0B3A8A8A">
      <w:pPr>
        <w:pStyle w:val="6"/>
        <w:bidi w:val="0"/>
      </w:pPr>
      <w: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2"/>
                    <a:stretch>
                      <a:fillRect/>
                    </a:stretch>
                  </pic:blipFill>
                  <pic:spPr>
                    <a:xfrm>
                      <a:off x="0" y="0"/>
                      <a:ext cx="5490210" cy="2669498"/>
                    </a:xfrm>
                    <a:prstGeom prst="rect">
                      <a:avLst/>
                    </a:prstGeom>
                  </pic:spPr>
                </pic:pic>
              </a:graphicData>
            </a:graphic>
          </wp:inline>
        </w:drawing>
      </w:r>
    </w:p>
    <w:p w14:paraId="5BED6A6A">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0342F58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049B1061">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486A74D3">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3"/>
                    <a:stretch>
                      <a:fillRect/>
                    </a:stretch>
                  </pic:blipFill>
                  <pic:spPr>
                    <a:xfrm>
                      <a:off x="0" y="0"/>
                      <a:ext cx="5490210" cy="1992743"/>
                    </a:xfrm>
                    <a:prstGeom prst="rect">
                      <a:avLst/>
                    </a:prstGeom>
                  </pic:spPr>
                </pic:pic>
              </a:graphicData>
            </a:graphic>
          </wp:inline>
        </w:drawing>
      </w:r>
    </w:p>
    <w:p w14:paraId="7B92FAE1">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BEFE23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2E99AAB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7457F59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1FB4CC8">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3D0BF3B6">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59A65D0E">
      <w:pPr>
        <w:pStyle w:val="6"/>
        <w:bidi w:val="0"/>
      </w:pPr>
      <w: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4"/>
                    <a:stretch>
                      <a:fillRect/>
                    </a:stretch>
                  </pic:blipFill>
                  <pic:spPr>
                    <a:xfrm>
                      <a:off x="0" y="0"/>
                      <a:ext cx="5490210" cy="2544669"/>
                    </a:xfrm>
                    <a:prstGeom prst="rect">
                      <a:avLst/>
                    </a:prstGeom>
                  </pic:spPr>
                </pic:pic>
              </a:graphicData>
            </a:graphic>
          </wp:inline>
        </w:drawing>
      </w:r>
    </w:p>
    <w:p w14:paraId="6741222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4A00133F">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11D38316">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0089D4D5">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5"/>
                    <a:stretch>
                      <a:fillRect/>
                    </a:stretch>
                  </pic:blipFill>
                  <pic:spPr>
                    <a:xfrm>
                      <a:off x="0" y="0"/>
                      <a:ext cx="5760085" cy="1956600"/>
                    </a:xfrm>
                    <a:prstGeom prst="rect">
                      <a:avLst/>
                    </a:prstGeom>
                  </pic:spPr>
                </pic:pic>
              </a:graphicData>
            </a:graphic>
          </wp:inline>
        </w:drawing>
      </w:r>
    </w:p>
    <w:p w14:paraId="67797A16">
      <w:pPr>
        <w:pStyle w:val="6"/>
        <w:rPr>
          <w:rFonts w:hint="eastAsia" w:hAnsi="宋体" w:eastAsia="宋体" w:cs="Times New Roman"/>
          <w:b/>
          <w:color w:val="000000"/>
          <w:sz w:val="24"/>
          <w:szCs w:val="24"/>
        </w:rPr>
      </w:pPr>
    </w:p>
    <w:p w14:paraId="5129D0CC">
      <w:pPr>
        <w:pStyle w:val="6"/>
        <w:rPr>
          <w:rFonts w:hint="eastAsia" w:hAnsi="宋体" w:eastAsia="宋体" w:cs="Times New Roman"/>
          <w:b/>
          <w:color w:val="000000"/>
          <w:sz w:val="24"/>
          <w:szCs w:val="24"/>
        </w:rPr>
      </w:pPr>
    </w:p>
    <w:p w14:paraId="09D63BEF">
      <w:pPr>
        <w:pStyle w:val="6"/>
        <w:bidi w:val="0"/>
        <w:rPr>
          <w:rFonts w:hint="eastAsia"/>
        </w:rPr>
      </w:pPr>
    </w:p>
    <w:p w14:paraId="6AE5B976">
      <w:pPr>
        <w:pStyle w:val="6"/>
        <w:outlineLvl w:val="2"/>
        <w:rPr>
          <w:rFonts w:hint="eastAsia" w:hAnsi="宋体" w:eastAsia="宋体" w:cs="Times New Roman"/>
          <w:b/>
          <w:color w:val="000000"/>
          <w:sz w:val="24"/>
          <w:szCs w:val="24"/>
          <w:lang w:val="en-US" w:eastAsia="zh-CN"/>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3</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w:t>
      </w:r>
      <w:r>
        <w:rPr>
          <w:rFonts w:hint="eastAsia" w:hAnsi="宋体" w:eastAsia="宋体" w:cs="Times New Roman"/>
          <w:b/>
          <w:color w:val="000000"/>
          <w:sz w:val="24"/>
          <w:szCs w:val="24"/>
          <w:lang w:val="en-US" w:eastAsia="zh-CN"/>
        </w:rPr>
        <w:t>近三年数据更新</w:t>
      </w:r>
    </w:p>
    <w:p w14:paraId="341BC1C8">
      <w:pPr>
        <w:pStyle w:val="6"/>
        <w:outlineLvl w:val="2"/>
      </w:pPr>
      <w:r>
        <w:drawing>
          <wp:inline distT="0" distB="0" distL="114300" distR="114300">
            <wp:extent cx="5749290" cy="2501265"/>
            <wp:effectExtent l="0" t="0" r="3810" b="63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6"/>
                    <a:stretch>
                      <a:fillRect/>
                    </a:stretch>
                  </pic:blipFill>
                  <pic:spPr>
                    <a:xfrm>
                      <a:off x="0" y="0"/>
                      <a:ext cx="5749290" cy="2501265"/>
                    </a:xfrm>
                    <a:prstGeom prst="rect">
                      <a:avLst/>
                    </a:prstGeom>
                    <a:noFill/>
                    <a:ln>
                      <a:noFill/>
                    </a:ln>
                  </pic:spPr>
                </pic:pic>
              </a:graphicData>
            </a:graphic>
          </wp:inline>
        </w:drawing>
      </w:r>
    </w:p>
    <w:p w14:paraId="747E0D4C">
      <w:pPr>
        <w:pStyle w:val="6"/>
        <w:outlineLvl w:val="2"/>
      </w:pPr>
      <w:r>
        <w:drawing>
          <wp:inline distT="0" distB="0" distL="114300" distR="114300">
            <wp:extent cx="5746750" cy="3303270"/>
            <wp:effectExtent l="0" t="0" r="6350" b="1143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7"/>
                    <a:stretch>
                      <a:fillRect/>
                    </a:stretch>
                  </pic:blipFill>
                  <pic:spPr>
                    <a:xfrm>
                      <a:off x="0" y="0"/>
                      <a:ext cx="5746750" cy="3303270"/>
                    </a:xfrm>
                    <a:prstGeom prst="rect">
                      <a:avLst/>
                    </a:prstGeom>
                    <a:noFill/>
                    <a:ln>
                      <a:noFill/>
                    </a:ln>
                  </pic:spPr>
                </pic:pic>
              </a:graphicData>
            </a:graphic>
          </wp:inline>
        </w:drawing>
      </w:r>
    </w:p>
    <w:p w14:paraId="6AEF790E">
      <w:pPr>
        <w:pStyle w:val="6"/>
        <w:outlineLvl w:val="2"/>
        <w:rPr>
          <w:rFonts w:hint="default"/>
          <w:lang w:val="en-US" w:eastAsia="zh-CN"/>
        </w:rPr>
      </w:pPr>
      <w:r>
        <w:drawing>
          <wp:inline distT="0" distB="0" distL="114300" distR="114300">
            <wp:extent cx="5742940" cy="2099310"/>
            <wp:effectExtent l="0" t="0" r="10160" b="889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18"/>
                    <a:stretch>
                      <a:fillRect/>
                    </a:stretch>
                  </pic:blipFill>
                  <pic:spPr>
                    <a:xfrm>
                      <a:off x="0" y="0"/>
                      <a:ext cx="5742940" cy="2099310"/>
                    </a:xfrm>
                    <a:prstGeom prst="rect">
                      <a:avLst/>
                    </a:prstGeom>
                    <a:noFill/>
                    <a:ln>
                      <a:noFill/>
                    </a:ln>
                  </pic:spPr>
                </pic:pic>
              </a:graphicData>
            </a:graphic>
          </wp:inline>
        </w:drawing>
      </w:r>
      <w:r>
        <w:drawing>
          <wp:inline distT="0" distB="0" distL="114300" distR="114300">
            <wp:extent cx="5742940" cy="2925445"/>
            <wp:effectExtent l="0" t="0" r="10160" b="825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19"/>
                    <a:stretch>
                      <a:fillRect/>
                    </a:stretch>
                  </pic:blipFill>
                  <pic:spPr>
                    <a:xfrm>
                      <a:off x="0" y="0"/>
                      <a:ext cx="5742940" cy="2925445"/>
                    </a:xfrm>
                    <a:prstGeom prst="rect">
                      <a:avLst/>
                    </a:prstGeom>
                    <a:noFill/>
                    <a:ln>
                      <a:noFill/>
                    </a:ln>
                  </pic:spPr>
                </pic:pic>
              </a:graphicData>
            </a:graphic>
          </wp:inline>
        </w:drawing>
      </w:r>
    </w:p>
    <w:p w14:paraId="1CB716DF"/>
    <w:p w14:paraId="4F82DEC1">
      <w:pPr>
        <w:rPr>
          <w:rFonts w:hint="eastAsia"/>
        </w:rPr>
      </w:pPr>
    </w:p>
    <w:p w14:paraId="4131D1A4">
      <w:pPr>
        <w:rPr>
          <w:rFonts w:hint="eastAsia" w:ascii="仿宋_GB2312" w:hAnsi="仿宋_GB2312" w:eastAsia="仿宋_GB2312" w:cs="仿宋_GB2312"/>
        </w:rPr>
      </w:pPr>
    </w:p>
    <w:p w14:paraId="42B959F3">
      <w:pPr>
        <w:rPr>
          <w:rFonts w:hint="eastAsia" w:ascii="仿宋_GB2312" w:hAnsi="仿宋_GB2312" w:eastAsia="仿宋_GB2312" w:cs="仿宋_GB2312"/>
        </w:rPr>
      </w:pPr>
    </w:p>
    <w:p w14:paraId="0FCB89C6">
      <w:pPr>
        <w:rPr>
          <w:rFonts w:hint="eastAsia" w:ascii="仿宋_GB2312" w:hAnsi="仿宋_GB2312" w:eastAsia="仿宋_GB2312" w:cs="仿宋_GB2312"/>
        </w:rPr>
      </w:pPr>
    </w:p>
    <w:p w14:paraId="3D1838AF">
      <w:pPr>
        <w:jc w:val="both"/>
      </w:pPr>
    </w:p>
    <w:p w14:paraId="30E3B809">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14:paraId="062B0FC5">
      <w:pPr>
        <w:rPr>
          <w:rFonts w:hint="eastAsia" w:asciiTheme="majorEastAsia" w:hAnsiTheme="majorEastAsia" w:eastAsiaTheme="majorEastAsia" w:cstheme="majorEastAsia"/>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KSOFE44F9426">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34A75"/>
    <w:rsid w:val="04301453"/>
    <w:rsid w:val="0B6E5FE8"/>
    <w:rsid w:val="0C682624"/>
    <w:rsid w:val="0E157D82"/>
    <w:rsid w:val="0F382F71"/>
    <w:rsid w:val="0FAC178F"/>
    <w:rsid w:val="0FE34B24"/>
    <w:rsid w:val="104C3089"/>
    <w:rsid w:val="15D53E6E"/>
    <w:rsid w:val="17525C24"/>
    <w:rsid w:val="1A5F0822"/>
    <w:rsid w:val="1CBE329F"/>
    <w:rsid w:val="25331BE5"/>
    <w:rsid w:val="27315D1D"/>
    <w:rsid w:val="28052233"/>
    <w:rsid w:val="283D5FEB"/>
    <w:rsid w:val="2F587E49"/>
    <w:rsid w:val="3AAA5DE6"/>
    <w:rsid w:val="40BD72A3"/>
    <w:rsid w:val="415E038C"/>
    <w:rsid w:val="41F106A4"/>
    <w:rsid w:val="44907102"/>
    <w:rsid w:val="44DF5E97"/>
    <w:rsid w:val="47DD599F"/>
    <w:rsid w:val="48031288"/>
    <w:rsid w:val="48EF075C"/>
    <w:rsid w:val="4A543A80"/>
    <w:rsid w:val="4B7153F0"/>
    <w:rsid w:val="4DD74341"/>
    <w:rsid w:val="4E25790F"/>
    <w:rsid w:val="51A11B6E"/>
    <w:rsid w:val="536770A5"/>
    <w:rsid w:val="57BF3EB6"/>
    <w:rsid w:val="594B58EE"/>
    <w:rsid w:val="5A053A32"/>
    <w:rsid w:val="5A1223DE"/>
    <w:rsid w:val="604271D8"/>
    <w:rsid w:val="64753845"/>
    <w:rsid w:val="66D60058"/>
    <w:rsid w:val="6B0F2793"/>
    <w:rsid w:val="6C152603"/>
    <w:rsid w:val="734930CE"/>
    <w:rsid w:val="77E571F5"/>
    <w:rsid w:val="787B2A9B"/>
    <w:rsid w:val="79E56A30"/>
    <w:rsid w:val="7A5738E1"/>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4">
    <w:name w:val="Body Text"/>
    <w:basedOn w:val="1"/>
    <w:next w:val="5"/>
    <w:qFormat/>
    <w:uiPriority w:val="0"/>
    <w:rPr>
      <w:rFonts w:ascii="仿宋_GB2312" w:eastAsia="仿宋_GB2312" w:hAnsiTheme="minorHAnsi" w:cstheme="minorBidi"/>
      <w:sz w:val="32"/>
      <w:szCs w:val="22"/>
    </w:rPr>
  </w:style>
  <w:style w:type="paragraph" w:customStyle="1" w:styleId="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jc w:val="left"/>
    </w:pPr>
    <w:rPr>
      <w:rFonts w:ascii="Calibri" w:hAnsi="Calibri" w:eastAsia="宋体"/>
      <w:kern w:val="0"/>
      <w:sz w:val="24"/>
    </w:rPr>
  </w:style>
  <w:style w:type="character" w:styleId="12">
    <w:name w:val="Strong"/>
    <w:basedOn w:val="11"/>
    <w:qFormat/>
    <w:uiPriority w:val="0"/>
    <w:rPr>
      <w:b/>
    </w:rPr>
  </w:style>
  <w:style w:type="character" w:styleId="13">
    <w:name w:val="FollowedHyperlink"/>
    <w:basedOn w:val="11"/>
    <w:qFormat/>
    <w:uiPriority w:val="0"/>
    <w:rPr>
      <w:color w:val="800080"/>
      <w:u w:val="none"/>
    </w:rPr>
  </w:style>
  <w:style w:type="character" w:styleId="14">
    <w:name w:val="HTML Definition"/>
    <w:basedOn w:val="11"/>
    <w:qFormat/>
    <w:uiPriority w:val="0"/>
  </w:style>
  <w:style w:type="character" w:styleId="15">
    <w:name w:val="HTML Typewriter"/>
    <w:basedOn w:val="11"/>
    <w:qFormat/>
    <w:uiPriority w:val="0"/>
    <w:rPr>
      <w:rFonts w:hint="default" w:ascii="monospace" w:hAnsi="monospace" w:eastAsia="monospace" w:cs="monospace"/>
      <w:sz w:val="20"/>
    </w:rPr>
  </w:style>
  <w:style w:type="character" w:styleId="16">
    <w:name w:val="HTML Acronym"/>
    <w:basedOn w:val="11"/>
    <w:qFormat/>
    <w:uiPriority w:val="0"/>
  </w:style>
  <w:style w:type="character" w:styleId="17">
    <w:name w:val="HTML Variable"/>
    <w:basedOn w:val="11"/>
    <w:qFormat/>
    <w:uiPriority w:val="0"/>
  </w:style>
  <w:style w:type="character" w:styleId="18">
    <w:name w:val="Hyperlink"/>
    <w:basedOn w:val="11"/>
    <w:qFormat/>
    <w:uiPriority w:val="0"/>
    <w:rPr>
      <w:color w:val="0000FF"/>
      <w:u w:val="none"/>
    </w:rPr>
  </w:style>
  <w:style w:type="character" w:styleId="19">
    <w:name w:val="HTML Code"/>
    <w:basedOn w:val="11"/>
    <w:qFormat/>
    <w:uiPriority w:val="0"/>
    <w:rPr>
      <w:rFonts w:hint="default" w:ascii="monospace" w:hAnsi="monospace" w:eastAsia="monospace" w:cs="monospace"/>
      <w:sz w:val="20"/>
    </w:rPr>
  </w:style>
  <w:style w:type="character" w:styleId="20">
    <w:name w:val="HTML Cite"/>
    <w:basedOn w:val="11"/>
    <w:qFormat/>
    <w:uiPriority w:val="0"/>
  </w:style>
  <w:style w:type="character" w:styleId="21">
    <w:name w:val="HTML Keyboard"/>
    <w:basedOn w:val="11"/>
    <w:qFormat/>
    <w:uiPriority w:val="0"/>
    <w:rPr>
      <w:rFonts w:ascii="monospace" w:hAnsi="monospace" w:eastAsia="monospace" w:cs="monospace"/>
      <w:sz w:val="20"/>
    </w:rPr>
  </w:style>
  <w:style w:type="character" w:styleId="22">
    <w:name w:val="HTML Sample"/>
    <w:basedOn w:val="11"/>
    <w:qFormat/>
    <w:uiPriority w:val="0"/>
    <w:rPr>
      <w:rFonts w:hint="default" w:ascii="monospace" w:hAnsi="monospace" w:eastAsia="monospace" w:cs="monospace"/>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17</Pages>
  <Words>6366</Words>
  <Characters>6683</Characters>
  <Lines>0</Lines>
  <Paragraphs>0</Paragraphs>
  <TotalTime>11</TotalTime>
  <ScaleCrop>false</ScaleCrop>
  <LinksUpToDate>false</LinksUpToDate>
  <CharactersWithSpaces>6824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杨淑超</cp:lastModifiedBy>
  <dcterms:modified xsi:type="dcterms:W3CDTF">2026-05-27T07:26:56Z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eyJoZGlkIjoiZWRkMzBjZWNmNjY5ZmRlYTM1NDA3YmNkODVkNWNhM2YiLCJ1c2VySWQiOiIxNzY1NTI4OTg1In0=</vt:lpwstr>
  </property>
  <property fmtid="{D5CDD505-2E9C-101B-9397-08002B2CF9AE}" pid="4" name="ICV">
    <vt:lpwstr>36BA767B9B1647D78DB7367FAC05A487_13</vt:lpwstr>
  </property>
</Properties>
</file>