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EC42E">
      <w:pPr>
        <w:pStyle w:val="2"/>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山东重工集团2026年汉诺威车展</w:t>
      </w:r>
    </w:p>
    <w:p w14:paraId="70EB68A1">
      <w:pPr>
        <w:pStyle w:val="2"/>
        <w:widowControl/>
        <w:jc w:val="center"/>
        <w:rPr>
          <w:i w:val="0"/>
          <w:iCs/>
          <w:sz w:val="32"/>
          <w:szCs w:val="32"/>
          <w:lang w:val="en-US"/>
        </w:rPr>
      </w:pPr>
      <w:r>
        <w:rPr>
          <w:rFonts w:hint="eastAsia" w:cs="宋体"/>
          <w:i w:val="0"/>
          <w:iCs/>
          <w:sz w:val="32"/>
          <w:szCs w:val="32"/>
          <w:lang w:val="en-US" w:eastAsia="zh-CN"/>
        </w:rPr>
        <w:t>展位搭建项目招标公告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ZBGL2026050235</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2026-05-27 </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2026-06-05</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5A429297">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2026年9月，汉诺威国际商用车博览会（IAA）将在德国举办。本次搭建服务需在设计标成果基础上完成展位实体落地，确保展示效果、工程安全、境外合规、展期维护和撤展交付，全面满足招标人及展馆方要求。</w:t>
      </w:r>
    </w:p>
    <w:p w14:paraId="45DF493C">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展位搭建及相关配套服务，包括但不限于施工搭建、材料采购制作、国际/境外物流协调运输、现场搭建、AV/灯光/电气/网络/给排水集成、展品及互动设备安装配合、展期运维保障、撤展清场及资料归档等。</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项目名称：山东重工集团2026年汉诺威车展展位搭建项目</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直管单位非生产招标/服务/品牌宣传</w:t>
      </w:r>
    </w:p>
    <w:p w14:paraId="3B9A1FEF">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77801997">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4.项目等级：A级</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752568F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1．投标人应遵守《中华人民共和国招标投标法》及有关的法律和法规。具备独立法人资格，具有独立承担民事责任能力、良好的财务状况、一定的垫资能力，经营稳定，资质符合项目要求，具有全面履约能力。</w:t>
      </w:r>
    </w:p>
    <w:p w14:paraId="43177994">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2．投标人的注册资金不低于500万元，营业执照在有效期内并且经营范围满足招标人需求，注册三年以上（以营业执照成立日期到开标当日计算）。</w:t>
      </w:r>
    </w:p>
    <w:p w14:paraId="1F389494">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3．投标人在国家企业信用信息公示系统中有不良记录、近三年的公司财务报表异常、存在严重违规或被列入招标人“黑名单”的，招标人有权取消其投标资格。</w:t>
      </w:r>
    </w:p>
    <w:p w14:paraId="79B784A5">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4．投标方的直接或间接股东、法定代表人、董事、监事、高管非山东重工集团内员工及其亲属。</w:t>
      </w:r>
    </w:p>
    <w:p w14:paraId="4BCD4B51">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5．招标方无招标违规、谎报年度报告信息、提供虚假资质资料等行为或其他行政处罚记录。</w:t>
      </w:r>
    </w:p>
    <w:p w14:paraId="729B2F0F">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6.投标方之间必须具有充分的竞争关系。</w:t>
      </w:r>
    </w:p>
    <w:p w14:paraId="1A8864C3">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投标人应具备海外大型展会特装展台搭建经验，近三年内至少具有1个欧洲国家汽车、商用车或工程机械类现场执行案例（展区面积不小于500㎡）；具有良好的风险应对能力，能够认可招标人的工作指令，包括节、假日能正常开展工作等要求，并在开标时携带以往项目策划执行资料、企业资信材料、财务报表及完税证明等备查。</w:t>
      </w:r>
    </w:p>
    <w:p w14:paraId="2F1AB35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highlight w:val="yellow"/>
          <w:lang w:val="en-US" w:eastAsia="zh-CN"/>
        </w:rPr>
        <w:t>以下第8条内容为应标报名材料，报名阶段上传重汽e采通系统。</w:t>
      </w:r>
    </w:p>
    <w:p w14:paraId="2FFA52E3">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8．资格审查方式：资格预审，合格制。投标人</w:t>
      </w:r>
      <w:r>
        <w:rPr>
          <w:rFonts w:hint="eastAsia" w:asciiTheme="majorEastAsia" w:hAnsiTheme="majorEastAsia" w:eastAsiaTheme="majorEastAsia" w:cstheme="majorEastAsia"/>
          <w:sz w:val="24"/>
          <w:szCs w:val="24"/>
          <w:highlight w:val="yellow"/>
        </w:rPr>
        <w:t>应编制资格预审文件</w:t>
      </w:r>
      <w:r>
        <w:rPr>
          <w:rFonts w:hint="eastAsia" w:asciiTheme="majorEastAsia" w:hAnsiTheme="majorEastAsia" w:eastAsiaTheme="majorEastAsia" w:cstheme="majorEastAsia"/>
          <w:sz w:val="24"/>
          <w:szCs w:val="24"/>
        </w:rPr>
        <w:t>，否则视为放弃投标，内容包括：</w:t>
      </w:r>
    </w:p>
    <w:p w14:paraId="07E17F2A">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（1）投标人基本情况表，附带投标人营业执照副本及复印件（加盖单位公章）。</w:t>
      </w:r>
    </w:p>
    <w:p w14:paraId="524990A4">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（2）法定代表人身份证复印件，若法定代表人不能出席，需有法定代表人授权委托书（附件1）及被委托人身份证（加盖单位公章）。有特殊情况请额外说明，经招标方审核后方可正常投标。</w:t>
      </w:r>
    </w:p>
    <w:p w14:paraId="1FB0D073">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财务状况报告，依法缴纳税收相关材料复印件加盖公章（财务状况报告：近三年审计报告，包括但不限于报告页、经审计的资产负债表、利润表、现金流量表及报表附注；或提供投标文件开启时间前6个月以内银行出具的资信证明（提供复印件加盖单位公章）；如公司规模小，无审计报告，可提供近三年财务报表，包括但不限于资产负债表、利润表、现金流量表；税收材料：税收完税凭证或税务部门出具的纳税证明）。有特殊情况请额外说明，经招标方审核后方可正常投标。</w:t>
      </w:r>
    </w:p>
    <w:p w14:paraId="27F35C91">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（4）无重大违法记录的书面声明原件（加盖单位公章）。</w:t>
      </w:r>
    </w:p>
    <w:p w14:paraId="7573C19E">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（5）信用承诺书（加盖单位公章）。</w:t>
      </w:r>
    </w:p>
    <w:p w14:paraId="087980A1">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（6）企业对外担保说明（写明贵单位对外有无对外担保和质押业务，需加盖单位公章）。</w:t>
      </w:r>
    </w:p>
    <w:p w14:paraId="7CBF42C9">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（7）近三年内至少1个欧洲国家汽车、商用车或工程机械类（展区面积不小于500㎡）展会搭建现场执行案例的合同关键页、项目成果照片、项目说明等。仅提供效果图或内部介绍无合同的，不作为有效材料。</w:t>
      </w:r>
    </w:p>
    <w:p w14:paraId="7FDDA412">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（8）保密协议</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见附件</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w:t>
      </w:r>
    </w:p>
    <w:p w14:paraId="68291BED">
      <w:pPr>
        <w:ind w:firstLine="420" w:firstLineChars="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highlight w:val="yellow"/>
          <w:lang w:val="en-US" w:eastAsia="zh-CN"/>
        </w:rPr>
        <w:t>9.本次汉诺威展会施工招标，已中标设计标段单位及其股权关联、各类关联主体均不得参与投标，杜绝利益风险。</w:t>
      </w:r>
      <w:bookmarkStart w:id="4" w:name="_GoBack"/>
      <w:bookmarkEnd w:id="4"/>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05</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22</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22</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r>
        <w:rPr>
          <w:rFonts w:hint="eastAsia" w:asciiTheme="majorEastAsia" w:hAnsiTheme="majorEastAsia" w:eastAsiaTheme="majorEastAsia" w:cstheme="majorEastAsia"/>
          <w:sz w:val="24"/>
          <w:szCs w:val="24"/>
          <w:lang w:val="en-US" w:eastAsia="zh-CN"/>
        </w:rPr>
        <w:t>三楼会议室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杨工</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2BBBFC11">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技术联系人：柴老师</w:t>
      </w:r>
    </w:p>
    <w:p w14:paraId="18B2FB9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联系电话：18615639061</w:t>
      </w: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5469D1D4">
      <w:pPr>
        <w:rPr>
          <w:rFonts w:hint="eastAsia"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br w:type="page"/>
      </w:r>
    </w:p>
    <w:p w14:paraId="429EA667">
      <w:pPr>
        <w:pStyle w:val="6"/>
        <w:outlineLvl w:val="2"/>
        <w:rPr>
          <w:rFonts w:hint="eastAsia" w:hAnsi="宋体" w:eastAsia="宋体" w:cs="宋体"/>
          <w:b/>
          <w:bCs/>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01B5B7D9">
      <w:pPr>
        <w:pStyle w:val="6"/>
        <w:outlineLvl w:val="2"/>
        <w:rPr>
          <w:rFonts w:hint="eastAsia"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 授权书</w:t>
      </w:r>
    </w:p>
    <w:p w14:paraId="335ABA47">
      <w:pPr>
        <w:pStyle w:val="9"/>
        <w:spacing w:line="312" w:lineRule="auto"/>
        <w:jc w:val="center"/>
        <w:rPr>
          <w:rFonts w:hint="eastAsia" w:ascii="宋体" w:hAnsi="宋体" w:cs="宋体"/>
          <w:b/>
          <w:bCs/>
          <w:kern w:val="2"/>
          <w:sz w:val="44"/>
          <w:szCs w:val="44"/>
          <w:lang w:bidi="ar"/>
        </w:rPr>
      </w:pPr>
      <w:r>
        <w:rPr>
          <w:rFonts w:hint="eastAsia" w:ascii="宋体" w:hAnsi="宋体" w:cs="宋体"/>
          <w:b/>
          <w:bCs/>
          <w:kern w:val="2"/>
          <w:sz w:val="44"/>
          <w:szCs w:val="44"/>
          <w:lang w:bidi="ar"/>
        </w:rPr>
        <w:t>授权书</w:t>
      </w:r>
    </w:p>
    <w:p w14:paraId="3AA90359">
      <w:pPr>
        <w:spacing w:line="312" w:lineRule="auto"/>
        <w:jc w:val="center"/>
        <w:rPr>
          <w:rFonts w:hint="eastAsia" w:ascii="宋体" w:hAnsi="宋体" w:eastAsia="宋体" w:cs="宋体"/>
          <w:b/>
          <w:bCs/>
          <w:sz w:val="44"/>
          <w:szCs w:val="44"/>
          <w:lang w:bidi="ar"/>
        </w:rPr>
      </w:pPr>
    </w:p>
    <w:p w14:paraId="00F237BD">
      <w:pPr>
        <w:spacing w:after="193" w:afterLines="50" w:line="312" w:lineRule="auto"/>
        <w:ind w:firstLine="560" w:firstLineChars="200"/>
        <w:jc w:val="left"/>
        <w:rPr>
          <w:rFonts w:hint="eastAsia" w:ascii="楷体" w:hAnsi="楷体" w:eastAsia="楷体"/>
          <w:sz w:val="28"/>
          <w:szCs w:val="28"/>
        </w:rPr>
      </w:pPr>
      <w:r>
        <w:rPr>
          <w:rFonts w:hint="eastAsia" w:ascii="楷体" w:hAnsi="楷体" w:eastAsia="楷体" w:cs="楷体"/>
          <w:sz w:val="28"/>
          <w:szCs w:val="28"/>
          <w:lang w:bidi="ar"/>
        </w:rPr>
        <w:t>中国重汽集团国际有限公司</w:t>
      </w:r>
      <w:r>
        <w:rPr>
          <w:rFonts w:ascii="楷体" w:hAnsi="楷体" w:eastAsia="楷体" w:cs="楷体"/>
          <w:sz w:val="28"/>
          <w:szCs w:val="28"/>
          <w:lang w:bidi="ar"/>
        </w:rPr>
        <w:t>：</w:t>
      </w:r>
    </w:p>
    <w:p w14:paraId="67510F4C">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本人（姓名）系（对方单位名称）的法定代表人，现委托（姓名）为我方代理人。代理人根据授权，以我方名义签署合同、处理招标等相关事宜，其一切法律后果均由我方承担。</w:t>
      </w:r>
    </w:p>
    <w:p w14:paraId="2BC4B4F2">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委托期限：</w:t>
      </w:r>
    </w:p>
    <w:p w14:paraId="345E8128">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代理人无转委托权。</w:t>
      </w:r>
    </w:p>
    <w:p w14:paraId="288D9BD2">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附：</w:t>
      </w:r>
      <w:r>
        <w:rPr>
          <w:rFonts w:hint="eastAsia" w:ascii="楷体" w:hAnsi="楷体" w:eastAsia="楷体" w:cs="楷体"/>
          <w:sz w:val="28"/>
          <w:szCs w:val="28"/>
          <w:lang w:bidi="ar"/>
        </w:rPr>
        <w:t>法定代表人及</w:t>
      </w:r>
      <w:r>
        <w:rPr>
          <w:rFonts w:ascii="楷体" w:hAnsi="楷体" w:eastAsia="楷体" w:cs="楷体"/>
          <w:sz w:val="28"/>
          <w:szCs w:val="28"/>
          <w:lang w:bidi="ar"/>
        </w:rPr>
        <w:t>代理人身份证明</w:t>
      </w:r>
    </w:p>
    <w:p w14:paraId="5B9F9B48">
      <w:pPr>
        <w:spacing w:line="312" w:lineRule="auto"/>
        <w:rPr>
          <w:rFonts w:hint="eastAsia" w:ascii="仿宋_GB2312" w:hAnsi="仿宋_GB2312" w:eastAsia="仿宋_GB2312" w:cs="仿宋_GB2312"/>
          <w:b/>
          <w:sz w:val="32"/>
          <w:szCs w:val="32"/>
          <w:lang w:bidi="ar"/>
        </w:rPr>
      </w:pPr>
    </w:p>
    <w:p w14:paraId="15150AC0">
      <w:pPr>
        <w:spacing w:line="312" w:lineRule="auto"/>
        <w:rPr>
          <w:rFonts w:hint="eastAsia" w:ascii="仿宋_GB2312" w:hAnsi="仿宋_GB2312" w:eastAsia="仿宋_GB2312" w:cs="仿宋_GB2312"/>
          <w:sz w:val="32"/>
          <w:szCs w:val="32"/>
        </w:rPr>
      </w:pPr>
    </w:p>
    <w:p w14:paraId="634A294F">
      <w:pPr>
        <w:spacing w:line="312" w:lineRule="auto"/>
        <w:rPr>
          <w:rFonts w:hint="eastAsia" w:ascii="仿宋_GB2312" w:hAnsi="仿宋_GB2312" w:eastAsia="仿宋_GB2312" w:cs="仿宋_GB2312"/>
          <w:sz w:val="32"/>
          <w:szCs w:val="32"/>
        </w:rPr>
      </w:pPr>
    </w:p>
    <w:p w14:paraId="2F1FB96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CC27335">
      <w:pPr>
        <w:pStyle w:val="6"/>
        <w:outlineLvl w:val="2"/>
        <w:rPr>
          <w:rFonts w:hint="eastAsia" w:hAnsi="宋体" w:eastAsia="宋体" w:cs="宋体"/>
          <w:b/>
          <w:bCs/>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3499DBC9">
      <w:pPr>
        <w:pStyle w:val="6"/>
        <w:outlineLvl w:val="2"/>
        <w:rPr>
          <w:rFonts w:hint="default"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 保密协议</w:t>
      </w:r>
    </w:p>
    <w:p w14:paraId="0D918D55">
      <w:pPr>
        <w:adjustRightInd w:val="0"/>
        <w:snapToGrid w:val="0"/>
        <w:spacing w:line="360" w:lineRule="auto"/>
        <w:jc w:val="center"/>
        <w:rPr>
          <w:rFonts w:hint="eastAsia" w:ascii="黑体" w:hAnsi="黑体" w:eastAsia="黑体" w:cs="黑体"/>
          <w:bCs/>
          <w:sz w:val="52"/>
          <w:szCs w:val="52"/>
          <w:lang w:val="en-GB"/>
        </w:rPr>
      </w:pPr>
      <w:r>
        <w:rPr>
          <w:rFonts w:hint="eastAsia" w:ascii="黑体" w:hAnsi="黑体" w:eastAsia="黑体" w:cs="黑体"/>
          <w:bCs/>
          <w:sz w:val="52"/>
          <w:szCs w:val="52"/>
          <w:lang w:val="en-GB"/>
        </w:rPr>
        <w:t>保密协议</w:t>
      </w:r>
    </w:p>
    <w:p w14:paraId="23E7AB28">
      <w:pPr>
        <w:adjustRightInd w:val="0"/>
        <w:snapToGrid w:val="0"/>
        <w:spacing w:line="360" w:lineRule="auto"/>
        <w:jc w:val="center"/>
        <w:rPr>
          <w:rFonts w:hint="eastAsia" w:ascii="黑体" w:hAnsi="黑体" w:eastAsia="黑体" w:cs="黑体"/>
          <w:bCs/>
          <w:sz w:val="28"/>
          <w:szCs w:val="28"/>
          <w:lang w:val="en-GB"/>
        </w:rPr>
      </w:pPr>
    </w:p>
    <w:p w14:paraId="099DD6A1">
      <w:pPr>
        <w:adjustRightInd w:val="0"/>
        <w:snapToGrid w:val="0"/>
        <w:spacing w:line="360" w:lineRule="auto"/>
        <w:jc w:val="center"/>
        <w:rPr>
          <w:rFonts w:hint="eastAsia" w:ascii="黑体" w:hAnsi="黑体" w:eastAsia="黑体" w:cs="黑体"/>
          <w:bCs/>
          <w:sz w:val="28"/>
          <w:szCs w:val="28"/>
          <w:lang w:val="en-GB"/>
        </w:rPr>
      </w:pPr>
    </w:p>
    <w:p w14:paraId="073FA1B4">
      <w:pPr>
        <w:adjustRightInd w:val="0"/>
        <w:snapToGrid w:val="0"/>
        <w:spacing w:line="360" w:lineRule="auto"/>
        <w:rPr>
          <w:rFonts w:hint="eastAsia" w:ascii="黑体" w:hAnsi="黑体" w:eastAsia="黑体" w:cs="黑体"/>
          <w:bCs/>
          <w:sz w:val="28"/>
          <w:szCs w:val="28"/>
          <w:lang w:val="en-GB"/>
        </w:rPr>
      </w:pPr>
    </w:p>
    <w:p w14:paraId="2F2B273F">
      <w:pPr>
        <w:adjustRightInd w:val="0"/>
        <w:snapToGrid w:val="0"/>
        <w:spacing w:line="360" w:lineRule="auto"/>
        <w:jc w:val="center"/>
        <w:rPr>
          <w:rFonts w:hint="eastAsia" w:ascii="黑体" w:hAnsi="黑体" w:eastAsia="黑体" w:cs="黑体"/>
          <w:bCs/>
          <w:sz w:val="28"/>
          <w:szCs w:val="28"/>
          <w:lang w:val="en-GB"/>
        </w:rPr>
      </w:pPr>
    </w:p>
    <w:p w14:paraId="258D5FD9">
      <w:pPr>
        <w:adjustRightInd w:val="0"/>
        <w:snapToGrid w:val="0"/>
        <w:spacing w:line="360" w:lineRule="auto"/>
        <w:jc w:val="center"/>
        <w:rPr>
          <w:rFonts w:hint="eastAsia" w:ascii="黑体" w:hAnsi="黑体" w:eastAsia="黑体" w:cs="黑体"/>
          <w:bCs/>
          <w:sz w:val="28"/>
          <w:szCs w:val="28"/>
          <w:lang w:val="en-GB"/>
        </w:rPr>
      </w:pPr>
    </w:p>
    <w:p w14:paraId="3BA2D802">
      <w:pPr>
        <w:adjustRightInd w:val="0"/>
        <w:snapToGrid w:val="0"/>
        <w:spacing w:line="360" w:lineRule="auto"/>
        <w:ind w:firstLine="2520" w:firstLineChars="1050"/>
        <w:rPr>
          <w:rFonts w:hint="eastAsia" w:ascii="黑体" w:hAnsi="黑体" w:eastAsia="黑体" w:cs="黑体"/>
          <w:bCs/>
          <w:sz w:val="24"/>
        </w:rPr>
      </w:pPr>
      <w:r>
        <w:rPr>
          <w:rFonts w:hint="eastAsia" w:ascii="黑体" w:hAnsi="黑体" w:eastAsia="黑体" w:cs="黑体"/>
          <w:bCs/>
          <w:sz w:val="24"/>
          <w:lang w:val="en-GB"/>
        </w:rPr>
        <w:t>甲方：</w:t>
      </w:r>
      <w:r>
        <w:rPr>
          <w:rFonts w:hint="eastAsia" w:ascii="黑体" w:hAnsi="黑体" w:eastAsia="黑体" w:cs="黑体"/>
          <w:bCs/>
          <w:sz w:val="24"/>
        </w:rPr>
        <w:t>中国重汽集团国际有限公司</w:t>
      </w:r>
    </w:p>
    <w:p w14:paraId="714585D6">
      <w:pPr>
        <w:adjustRightInd w:val="0"/>
        <w:snapToGrid w:val="0"/>
        <w:spacing w:line="360" w:lineRule="auto"/>
        <w:ind w:firstLine="2660" w:firstLineChars="950"/>
        <w:rPr>
          <w:rFonts w:hint="eastAsia" w:ascii="黑体" w:hAnsi="黑体" w:eastAsia="黑体" w:cs="黑体"/>
          <w:bCs/>
          <w:sz w:val="28"/>
          <w:szCs w:val="28"/>
          <w:lang w:val="en-GB"/>
        </w:rPr>
      </w:pPr>
    </w:p>
    <w:p w14:paraId="132C5D07">
      <w:pPr>
        <w:adjustRightInd w:val="0"/>
        <w:snapToGrid w:val="0"/>
        <w:spacing w:line="360" w:lineRule="auto"/>
        <w:ind w:firstLine="2520" w:firstLineChars="1050"/>
        <w:rPr>
          <w:rFonts w:hint="eastAsia" w:ascii="方正小标宋简体" w:hAnsi="黑体" w:eastAsia="方正小标宋简体"/>
          <w:bCs/>
          <w:sz w:val="24"/>
          <w:lang w:val="en-GB"/>
        </w:rPr>
      </w:pPr>
      <w:r>
        <w:rPr>
          <w:rFonts w:hint="eastAsia" w:ascii="黑体" w:hAnsi="黑体" w:eastAsia="黑体" w:cs="黑体"/>
          <w:bCs/>
          <w:sz w:val="24"/>
          <w:lang w:val="en-GB"/>
        </w:rPr>
        <w:t>乙方：_________________________</w:t>
      </w:r>
    </w:p>
    <w:p w14:paraId="27F999CE">
      <w:pPr>
        <w:widowControl/>
        <w:jc w:val="left"/>
        <w:rPr>
          <w:rFonts w:hint="eastAsia" w:asciiTheme="minorEastAsia" w:hAnsiTheme="minorEastAsia" w:cstheme="minorEastAsia"/>
          <w:b/>
          <w:bCs/>
          <w:sz w:val="22"/>
        </w:rPr>
      </w:pPr>
    </w:p>
    <w:p w14:paraId="2D8E3985">
      <w:pPr>
        <w:spacing w:line="360" w:lineRule="auto"/>
        <w:rPr>
          <w:rFonts w:hint="eastAsia" w:ascii="仿宋_GB2312" w:eastAsia="仿宋_GB2312" w:hAnsiTheme="minorEastAsia" w:cstheme="minorEastAsia"/>
          <w:sz w:val="24"/>
        </w:rPr>
      </w:pPr>
    </w:p>
    <w:p w14:paraId="44417A4F">
      <w:pPr>
        <w:spacing w:line="360" w:lineRule="auto"/>
        <w:rPr>
          <w:rFonts w:hint="eastAsia" w:ascii="仿宋_GB2312" w:eastAsia="仿宋_GB2312" w:hAnsiTheme="minorEastAsia" w:cstheme="minorEastAsia"/>
          <w:sz w:val="24"/>
        </w:rPr>
      </w:pPr>
    </w:p>
    <w:p w14:paraId="1EFDFE1F">
      <w:pPr>
        <w:spacing w:line="360" w:lineRule="auto"/>
        <w:rPr>
          <w:rFonts w:hint="eastAsia" w:ascii="仿宋_GB2312" w:eastAsia="仿宋_GB2312" w:hAnsiTheme="minorEastAsia" w:cstheme="minorEastAsia"/>
          <w:sz w:val="24"/>
        </w:rPr>
      </w:pPr>
    </w:p>
    <w:p w14:paraId="110AA170">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本协议由以下双方于</w:t>
      </w:r>
      <w:r>
        <w:rPr>
          <w:rFonts w:hint="eastAsia" w:ascii="仿宋_GB2312" w:eastAsia="仿宋_GB2312" w:hAnsiTheme="minorEastAsia" w:cstheme="minorEastAsia"/>
          <w:sz w:val="24"/>
          <w:u w:val="single"/>
        </w:rPr>
        <w:t>山东济南</w:t>
      </w:r>
      <w:r>
        <w:rPr>
          <w:rFonts w:hint="eastAsia" w:ascii="仿宋_GB2312" w:eastAsia="仿宋_GB2312" w:hAnsiTheme="minorEastAsia" w:cstheme="minorEastAsia"/>
          <w:sz w:val="24"/>
        </w:rPr>
        <w:t>共同签署：</w:t>
      </w:r>
    </w:p>
    <w:p w14:paraId="5FE005AD">
      <w:pPr>
        <w:spacing w:line="360" w:lineRule="auto"/>
        <w:rPr>
          <w:rFonts w:hint="eastAsia" w:ascii="仿宋_GB2312" w:hAnsi="宋体" w:eastAsia="仿宋_GB2312" w:cs="宋体"/>
          <w:sz w:val="24"/>
        </w:rPr>
      </w:pPr>
      <w:r>
        <w:rPr>
          <w:rFonts w:hint="eastAsia" w:ascii="仿宋_GB2312" w:hAnsi="宋体" w:eastAsia="仿宋_GB2312" w:cs="宋体"/>
          <w:sz w:val="24"/>
        </w:rPr>
        <w:t>甲方：中国重汽集团</w:t>
      </w:r>
      <w:r>
        <w:rPr>
          <w:rFonts w:hint="eastAsia" w:ascii="仿宋_GB2312" w:hAnsi="宋体" w:eastAsia="仿宋_GB2312" w:cs="宋体"/>
          <w:sz w:val="24"/>
          <w:u w:val="single"/>
        </w:rPr>
        <w:t>国际</w:t>
      </w:r>
      <w:r>
        <w:rPr>
          <w:rFonts w:hint="eastAsia" w:ascii="仿宋_GB2312" w:hAnsi="宋体" w:eastAsia="仿宋_GB2312" w:cs="宋体"/>
          <w:sz w:val="24"/>
        </w:rPr>
        <w:t>有限公司</w:t>
      </w:r>
    </w:p>
    <w:p w14:paraId="30469C55">
      <w:pPr>
        <w:spacing w:line="360" w:lineRule="auto"/>
        <w:rPr>
          <w:rFonts w:hint="eastAsia" w:ascii="仿宋_GB2312" w:hAnsi="宋体" w:eastAsia="仿宋_GB2312" w:cs="宋体"/>
          <w:sz w:val="24"/>
        </w:rPr>
      </w:pPr>
      <w:r>
        <w:rPr>
          <w:rFonts w:hint="eastAsia" w:ascii="仿宋_GB2312" w:hAnsi="宋体" w:eastAsia="仿宋_GB2312" w:cs="宋体"/>
          <w:sz w:val="24"/>
        </w:rPr>
        <w:t>公司住所：山东省济南市高新区华奥路777号中国重汽科技大厦</w:t>
      </w:r>
    </w:p>
    <w:p w14:paraId="1FE84498">
      <w:pPr>
        <w:spacing w:line="360" w:lineRule="auto"/>
        <w:rPr>
          <w:rFonts w:hint="eastAsia" w:ascii="仿宋_GB2312" w:hAnsi="宋体" w:eastAsia="仿宋_GB2312" w:cs="宋体"/>
          <w:sz w:val="24"/>
        </w:rPr>
      </w:pPr>
      <w:r>
        <w:rPr>
          <w:rFonts w:hint="eastAsia" w:ascii="仿宋_GB2312" w:hAnsi="宋体" w:eastAsia="仿宋_GB2312" w:cs="宋体"/>
          <w:sz w:val="24"/>
        </w:rPr>
        <w:t>法定代表人：赵华</w:t>
      </w:r>
    </w:p>
    <w:p w14:paraId="2C9C3B49">
      <w:pPr>
        <w:spacing w:line="360" w:lineRule="auto"/>
        <w:rPr>
          <w:rFonts w:hint="eastAsia" w:ascii="仿宋_GB2312" w:hAnsi="宋体" w:eastAsia="仿宋_GB2312" w:cs="宋体"/>
          <w:sz w:val="24"/>
        </w:rPr>
      </w:pPr>
    </w:p>
    <w:p w14:paraId="009B1E9D">
      <w:pPr>
        <w:spacing w:line="360" w:lineRule="auto"/>
        <w:rPr>
          <w:rFonts w:hint="eastAsia" w:ascii="仿宋_GB2312" w:hAnsi="宋体" w:eastAsia="仿宋_GB2312" w:cs="宋体"/>
          <w:sz w:val="24"/>
        </w:rPr>
      </w:pPr>
      <w:r>
        <w:rPr>
          <w:rFonts w:hint="eastAsia" w:ascii="仿宋_GB2312" w:hAnsi="宋体" w:eastAsia="仿宋_GB2312" w:cs="宋体"/>
          <w:sz w:val="24"/>
        </w:rPr>
        <w:t>乙方：</w:t>
      </w:r>
    </w:p>
    <w:p w14:paraId="59F21E43">
      <w:pPr>
        <w:spacing w:line="360" w:lineRule="auto"/>
        <w:rPr>
          <w:rFonts w:hint="eastAsia" w:ascii="仿宋_GB2312" w:hAnsi="宋体" w:eastAsia="仿宋_GB2312" w:cs="宋体"/>
          <w:sz w:val="24"/>
        </w:rPr>
      </w:pPr>
      <w:r>
        <w:rPr>
          <w:rFonts w:hint="eastAsia" w:ascii="仿宋_GB2312" w:hAnsi="宋体" w:eastAsia="仿宋_GB2312" w:cs="宋体"/>
          <w:sz w:val="24"/>
        </w:rPr>
        <w:t>公司住所：</w:t>
      </w:r>
    </w:p>
    <w:p w14:paraId="387FD725">
      <w:pPr>
        <w:spacing w:line="360" w:lineRule="auto"/>
        <w:rPr>
          <w:rFonts w:hint="eastAsia" w:ascii="仿宋_GB2312" w:hAnsi="宋体" w:eastAsia="仿宋_GB2312" w:cs="宋体"/>
          <w:sz w:val="24"/>
        </w:rPr>
      </w:pPr>
      <w:r>
        <w:rPr>
          <w:rFonts w:hint="eastAsia" w:ascii="仿宋_GB2312" w:hAnsi="宋体" w:eastAsia="仿宋_GB2312" w:cs="宋体"/>
          <w:sz w:val="24"/>
        </w:rPr>
        <w:t>法定代表人：</w:t>
      </w:r>
    </w:p>
    <w:p w14:paraId="1B6D6D7A">
      <w:pPr>
        <w:spacing w:line="360" w:lineRule="auto"/>
        <w:rPr>
          <w:rFonts w:hint="eastAsia" w:ascii="仿宋_GB2312" w:hAnsi="宋体" w:eastAsia="仿宋_GB2312" w:cs="宋体"/>
          <w:sz w:val="24"/>
          <w:lang w:val="en-GB"/>
        </w:rPr>
      </w:pPr>
    </w:p>
    <w:p w14:paraId="500D9C4A">
      <w:pPr>
        <w:spacing w:line="360" w:lineRule="auto"/>
        <w:rPr>
          <w:rFonts w:hint="eastAsia" w:ascii="仿宋_GB2312" w:hAnsi="宋体" w:eastAsia="仿宋_GB2312" w:cs="宋体"/>
          <w:sz w:val="24"/>
          <w:lang w:val="en-GB"/>
        </w:rPr>
      </w:pPr>
    </w:p>
    <w:p w14:paraId="35319ADA">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甲乙双方需开展</w:t>
      </w:r>
      <w:r>
        <w:rPr>
          <w:rFonts w:hint="eastAsia" w:ascii="仿宋_GB2312" w:eastAsia="仿宋_GB2312" w:hAnsiTheme="minorEastAsia" w:cstheme="minorEastAsia"/>
          <w:sz w:val="24"/>
          <w:u w:val="single"/>
        </w:rPr>
        <w:t>山东重工集团2026年汉诺威车展展位搭建项目</w:t>
      </w:r>
      <w:r>
        <w:rPr>
          <w:rFonts w:hint="eastAsia" w:ascii="仿宋_GB2312" w:eastAsia="仿宋_GB2312" w:hAnsiTheme="minorEastAsia" w:cstheme="minorEastAsia"/>
          <w:sz w:val="24"/>
        </w:rPr>
        <w:t>合作。出于该合作目的，甲方已经或将要向乙方提供有关项目的保密信息。经平等协商，双方自愿签订协议如下：</w:t>
      </w:r>
    </w:p>
    <w:p w14:paraId="4B0E5A1D">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第一条定义</w:t>
      </w:r>
    </w:p>
    <w:p w14:paraId="00A3D7DE">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1、“保密信息”指甲方现在或将来向乙方提供的</w:t>
      </w:r>
      <w:r>
        <w:rPr>
          <w:rFonts w:hint="eastAsia" w:ascii="仿宋_GB2312" w:eastAsia="仿宋_GB2312" w:hAnsiTheme="minorEastAsia" w:cstheme="minorEastAsia"/>
          <w:sz w:val="24"/>
          <w:lang w:val="en-GB"/>
        </w:rPr>
        <w:t>与本协议有关的任何信息和数据，包括但不限于任何类型的</w:t>
      </w:r>
      <w:r>
        <w:rPr>
          <w:rFonts w:hint="eastAsia" w:ascii="仿宋_GB2312" w:eastAsia="仿宋_GB2312" w:hAnsiTheme="minorEastAsia" w:cstheme="minorEastAsia"/>
          <w:sz w:val="24"/>
        </w:rPr>
        <w:t>经营信息、技术信息</w:t>
      </w:r>
      <w:r>
        <w:rPr>
          <w:rFonts w:hint="eastAsia" w:ascii="仿宋_GB2312" w:eastAsia="仿宋_GB2312" w:hAnsiTheme="minorEastAsia" w:cstheme="minorEastAsia"/>
          <w:sz w:val="24"/>
          <w:lang w:val="en-GB"/>
        </w:rPr>
        <w:t>、</w:t>
      </w:r>
      <w:r>
        <w:rPr>
          <w:rFonts w:hint="eastAsia" w:ascii="仿宋_GB2312" w:eastAsia="仿宋_GB2312" w:hAnsiTheme="minorEastAsia" w:cstheme="minorEastAsia"/>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289CFE2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2、信息提供方：甲方</w:t>
      </w:r>
    </w:p>
    <w:p w14:paraId="29CEA883">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3、信息接收方：乙方</w:t>
      </w:r>
    </w:p>
    <w:p w14:paraId="78236B1D">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4、第三方：指本协议双方之外的任何第三方。</w:t>
      </w:r>
    </w:p>
    <w:p w14:paraId="01D11E9A">
      <w:pPr>
        <w:spacing w:line="360" w:lineRule="auto"/>
        <w:ind w:firstLine="480" w:firstLineChars="200"/>
        <w:rPr>
          <w:rFonts w:hint="eastAsia" w:ascii="仿宋_GB2312" w:eastAsia="仿宋_GB2312" w:hAnsiTheme="minorEastAsia" w:cstheme="minorEastAsia"/>
          <w:sz w:val="24"/>
        </w:rPr>
      </w:pPr>
      <w:r>
        <w:rPr>
          <w:rFonts w:hint="eastAsia" w:ascii="仿宋_GB2312" w:hAnsi="宋体" w:eastAsia="仿宋_GB2312" w:cs="宋体"/>
          <w:sz w:val="24"/>
        </w:rPr>
        <w:t>5、</w:t>
      </w:r>
      <w:r>
        <w:rPr>
          <w:rFonts w:hint="eastAsia" w:ascii="仿宋_GB2312" w:hAnsi="宋体" w:eastAsia="仿宋_GB2312" w:cs="宋体"/>
          <w:sz w:val="24"/>
          <w:lang w:val="en-GB"/>
        </w:rPr>
        <w:t>关联</w:t>
      </w:r>
      <w:r>
        <w:rPr>
          <w:rFonts w:hint="eastAsia" w:ascii="仿宋_GB2312" w:hAnsi="宋体" w:eastAsia="仿宋_GB2312" w:cs="宋体"/>
          <w:sz w:val="24"/>
        </w:rPr>
        <w:t>公司</w:t>
      </w:r>
      <w:r>
        <w:rPr>
          <w:rFonts w:hint="eastAsia" w:ascii="仿宋_GB2312" w:hAnsi="宋体" w:eastAsia="仿宋_GB2312" w:cs="宋体"/>
          <w:sz w:val="24"/>
          <w:lang w:val="en-GB"/>
        </w:rPr>
        <w:t>：直接或间接控制</w:t>
      </w:r>
      <w:r>
        <w:rPr>
          <w:rFonts w:hint="eastAsia" w:ascii="仿宋_GB2312" w:hAnsi="宋体" w:eastAsia="仿宋_GB2312" w:cs="宋体"/>
          <w:sz w:val="24"/>
        </w:rPr>
        <w:t>一</w:t>
      </w:r>
      <w:r>
        <w:rPr>
          <w:rFonts w:hint="eastAsia" w:ascii="仿宋_GB2312" w:hAnsi="宋体" w:eastAsia="仿宋_GB2312" w:cs="宋体"/>
          <w:sz w:val="24"/>
          <w:lang w:val="en-GB"/>
        </w:rPr>
        <w:t>方，或者受控于</w:t>
      </w:r>
      <w:r>
        <w:rPr>
          <w:rFonts w:hint="eastAsia" w:ascii="仿宋_GB2312" w:hAnsi="宋体" w:eastAsia="仿宋_GB2312" w:cs="宋体"/>
          <w:sz w:val="24"/>
        </w:rPr>
        <w:t>该</w:t>
      </w:r>
      <w:r>
        <w:rPr>
          <w:rFonts w:hint="eastAsia" w:ascii="仿宋_GB2312" w:hAnsi="宋体" w:eastAsia="仿宋_GB2312" w:cs="宋体"/>
          <w:sz w:val="24"/>
          <w:lang w:val="en-GB"/>
        </w:rPr>
        <w:t>方，或者与</w:t>
      </w:r>
      <w:r>
        <w:rPr>
          <w:rFonts w:hint="eastAsia" w:ascii="仿宋_GB2312" w:hAnsi="宋体" w:eastAsia="仿宋_GB2312" w:cs="宋体"/>
          <w:sz w:val="24"/>
        </w:rPr>
        <w:t>该</w:t>
      </w:r>
      <w:r>
        <w:rPr>
          <w:rFonts w:hint="eastAsia" w:ascii="仿宋_GB2312" w:hAnsi="宋体" w:eastAsia="仿宋_GB2312" w:cs="宋体"/>
          <w:sz w:val="24"/>
          <w:lang w:val="en-GB"/>
        </w:rPr>
        <w:t>方共同处于控制之下的任何</w:t>
      </w:r>
      <w:r>
        <w:rPr>
          <w:rFonts w:hint="eastAsia" w:ascii="仿宋_GB2312" w:eastAsia="仿宋_GB2312" w:hAnsiTheme="minorEastAsia" w:cstheme="minorEastAsia"/>
          <w:sz w:val="24"/>
        </w:rPr>
        <w:t>第三方。</w:t>
      </w:r>
    </w:p>
    <w:p w14:paraId="4E8FBAC2">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第二条保密信息的提供</w:t>
      </w:r>
    </w:p>
    <w:p w14:paraId="7AFC82E3">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1、本协议所述之保密信息均由协议双方为洽谈合作事项之目的而提供。</w:t>
      </w:r>
    </w:p>
    <w:p w14:paraId="44362A36">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2、保密信息的所有权及知识产权归属于甲方或甲方具有合法来源。</w:t>
      </w:r>
    </w:p>
    <w:p w14:paraId="6CFE3B3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3、本协议任何条款均不视为将保密信息的所有权和其他权利转让给乙方。</w:t>
      </w:r>
    </w:p>
    <w:p w14:paraId="7033D3B9">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第三条保密义务</w:t>
      </w:r>
    </w:p>
    <w:p w14:paraId="0F4E598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1、乙方仅能将甲方提供的保密信息用于本协议所约定的项目并承担保密义务。</w:t>
      </w:r>
    </w:p>
    <w:p w14:paraId="4BCCF9CA">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露、被披露、被交流。</w:t>
      </w:r>
    </w:p>
    <w:p w14:paraId="11979640">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7F6BBCE2">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4、如乙方得悉甲方的任何保密信息遭到侵犯或疑似侵权，乙方应立即通知甲方。如果甲方决定就侵权行为进行起诉，或以其他方式停止或阻止该实际或可能发生的侵权行为，乙方应尽最大限度予以协助。</w:t>
      </w:r>
    </w:p>
    <w:p w14:paraId="633A2DAC">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5、乙方不得在世界任何地方就保密信息进行升级、变更和/或改进，亦不得直接或间接提交或促使提交专利或著作权或其他权利的申请，也不得以其名义取得或促使以其他人名义取得任何专利或其他权利注册。</w:t>
      </w:r>
    </w:p>
    <w:p w14:paraId="49F71E30">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6、乙方应遵从甲方不时发出的有关使用、处理和保管保密信息的任何指令或政策，并按照甲方的要求将本协议项下保密信息的使用情况向甲方汇报。</w:t>
      </w:r>
    </w:p>
    <w:p w14:paraId="284DF733">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7、乙方不得为第三方利益使用保密信息，不得非为实现双方合作目的使用保密信息，不得对保密信息采取任何反向工程、反向编译或反向分解等行为。</w:t>
      </w:r>
    </w:p>
    <w:p w14:paraId="5211183F">
      <w:pPr>
        <w:spacing w:line="360" w:lineRule="auto"/>
        <w:ind w:firstLine="480" w:firstLineChars="200"/>
        <w:rPr>
          <w:rFonts w:hint="eastAsia" w:ascii="仿宋_GB2312" w:eastAsia="仿宋_GB2312" w:hAnsiTheme="minorEastAsia" w:cstheme="minorEastAsia"/>
          <w:sz w:val="24"/>
          <w:highlight w:val="yellow"/>
        </w:rPr>
      </w:pPr>
      <w:r>
        <w:rPr>
          <w:rFonts w:hint="eastAsia" w:ascii="仿宋_GB2312" w:eastAsia="仿宋_GB2312" w:hAnsiTheme="minorEastAsia" w:cstheme="minorEastAsia"/>
          <w:sz w:val="24"/>
        </w:rPr>
        <w:t>8、双方合作期间形成的与本协议有关的任何信息和数据受本协议约束。</w:t>
      </w:r>
    </w:p>
    <w:p w14:paraId="74DC15FB">
      <w:pPr>
        <w:tabs>
          <w:tab w:val="left" w:pos="567"/>
        </w:tabs>
        <w:spacing w:line="360" w:lineRule="auto"/>
        <w:ind w:firstLine="480" w:firstLineChars="200"/>
        <w:rPr>
          <w:rFonts w:hint="eastAsia" w:ascii="仿宋_GB2312" w:hAnsi="宋体" w:eastAsia="仿宋_GB2312" w:cs="宋体"/>
          <w:sz w:val="24"/>
          <w:lang w:val="en-GB"/>
        </w:rPr>
      </w:pPr>
      <w:r>
        <w:rPr>
          <w:rFonts w:hint="eastAsia" w:ascii="仿宋_GB2312" w:hAnsi="宋体" w:eastAsia="仿宋_GB2312" w:cs="宋体"/>
          <w:sz w:val="24"/>
          <w:lang w:val="en-GB"/>
        </w:rPr>
        <w:t>在本协议签订后，</w:t>
      </w:r>
      <w:r>
        <w:rPr>
          <w:rFonts w:hint="eastAsia" w:ascii="仿宋_GB2312" w:hAnsi="宋体" w:eastAsia="仿宋_GB2312" w:cs="宋体"/>
          <w:sz w:val="24"/>
        </w:rPr>
        <w:t>甲方仅将保密信息向乙</w:t>
      </w:r>
      <w:r>
        <w:rPr>
          <w:rFonts w:hint="eastAsia" w:ascii="仿宋_GB2312" w:hAnsi="宋体" w:eastAsia="仿宋_GB2312" w:cs="宋体"/>
          <w:sz w:val="24"/>
          <w:lang w:val="en-GB"/>
        </w:rPr>
        <w:t>方</w:t>
      </w:r>
      <w:r>
        <w:rPr>
          <w:rFonts w:hint="eastAsia" w:ascii="仿宋_GB2312" w:hAnsi="宋体" w:eastAsia="仿宋_GB2312" w:cs="宋体"/>
          <w:sz w:val="24"/>
        </w:rPr>
        <w:t>指定联系人</w:t>
      </w:r>
      <w:bookmarkStart w:id="2" w:name="OLE_LINK2"/>
      <w:bookmarkStart w:id="3" w:name="OLE_LINK3"/>
      <w:r>
        <w:rPr>
          <w:rFonts w:hint="eastAsia" w:ascii="仿宋_GB2312" w:hAnsi="宋体" w:eastAsia="仿宋_GB2312" w:cs="宋体"/>
          <w:sz w:val="24"/>
        </w:rPr>
        <w:t>：</w:t>
      </w:r>
      <w:bookmarkEnd w:id="2"/>
      <w:bookmarkEnd w:id="3"/>
      <w:r>
        <w:rPr>
          <w:rFonts w:hint="eastAsia" w:ascii="仿宋_GB2312" w:hAnsi="宋体" w:eastAsia="仿宋_GB2312" w:cs="宋体"/>
          <w:sz w:val="24"/>
        </w:rPr>
        <w:t>进行披露，如乙方联系人发生变更，应立即书面通知甲方并做出新的授权。</w:t>
      </w:r>
    </w:p>
    <w:p w14:paraId="3A442A02">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第四条保密义务的例外</w:t>
      </w:r>
    </w:p>
    <w:p w14:paraId="640C50E3">
      <w:pPr>
        <w:spacing w:line="360" w:lineRule="auto"/>
        <w:ind w:firstLine="480" w:firstLineChars="200"/>
        <w:rPr>
          <w:rFonts w:hint="eastAsia" w:ascii="仿宋_GB2312" w:eastAsia="仿宋_GB2312" w:hAnsiTheme="minorEastAsia" w:cstheme="minorEastAsia"/>
          <w:sz w:val="24"/>
          <w:lang w:val="en-GB"/>
        </w:rPr>
      </w:pPr>
      <w:r>
        <w:rPr>
          <w:rFonts w:hint="eastAsia" w:ascii="仿宋_GB2312" w:eastAsia="仿宋_GB2312" w:hAnsiTheme="minorEastAsia" w:cstheme="minorEastAsia"/>
          <w:sz w:val="24"/>
        </w:rPr>
        <w:t>1、</w:t>
      </w:r>
      <w:r>
        <w:rPr>
          <w:rFonts w:hint="eastAsia" w:ascii="仿宋_GB2312" w:eastAsia="仿宋_GB2312" w:hAnsiTheme="minorEastAsia" w:cstheme="minorEastAsia"/>
          <w:sz w:val="24"/>
          <w:lang w:val="en-GB"/>
        </w:rPr>
        <w:t>根据有关法律或有管辖权的法院、仲裁机构、交易所或政府机构</w:t>
      </w:r>
      <w:r>
        <w:rPr>
          <w:rFonts w:hint="eastAsia" w:ascii="仿宋_GB2312" w:eastAsia="仿宋_GB2312" w:hAnsiTheme="minorEastAsia" w:cstheme="minorEastAsia"/>
          <w:sz w:val="24"/>
        </w:rPr>
        <w:t>的</w:t>
      </w:r>
      <w:r>
        <w:rPr>
          <w:rFonts w:hint="eastAsia" w:ascii="仿宋_GB2312" w:eastAsia="仿宋_GB2312" w:hAnsiTheme="minorEastAsia" w:cstheme="minorEastAsia"/>
          <w:sz w:val="24"/>
          <w:lang w:val="en-GB"/>
        </w:rPr>
        <w:t>要求而披露保密信息。</w:t>
      </w:r>
    </w:p>
    <w:p w14:paraId="4787FD37">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2、事先取得甲方书面同意而公开的信息。</w:t>
      </w:r>
    </w:p>
    <w:p w14:paraId="4709FE46">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披露该等保密信息之前，乙方应当立即通知甲方，并提供有关该等命令的通知，协同甲方采取有效措施防范风险。</w:t>
      </w:r>
    </w:p>
    <w:p w14:paraId="656C8E5B">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第五条保密信息的返还</w:t>
      </w:r>
    </w:p>
    <w:p w14:paraId="109E2B7A">
      <w:pPr>
        <w:tabs>
          <w:tab w:val="left" w:pos="990"/>
        </w:tabs>
        <w:spacing w:line="360" w:lineRule="auto"/>
        <w:ind w:firstLine="480" w:firstLineChars="200"/>
        <w:rPr>
          <w:rFonts w:hint="eastAsia" w:ascii="仿宋_GB2312" w:hAnsi="宋体" w:eastAsia="仿宋_GB2312" w:cs="宋体"/>
          <w:sz w:val="24"/>
        </w:rPr>
      </w:pPr>
      <w:r>
        <w:rPr>
          <w:rFonts w:hint="eastAsia" w:ascii="仿宋_GB2312" w:eastAsia="仿宋_GB2312" w:hAnsiTheme="minorEastAsia" w:cstheme="minorEastAsia"/>
          <w:sz w:val="24"/>
        </w:rPr>
        <w:t>根据</w:t>
      </w:r>
      <w:r>
        <w:rPr>
          <w:rFonts w:hint="eastAsia" w:ascii="仿宋_GB2312" w:hAnsi="宋体" w:eastAsia="仿宋_GB2312" w:cs="宋体"/>
          <w:sz w:val="24"/>
        </w:rPr>
        <w:t>甲方要求或乙方违约时</w:t>
      </w:r>
      <w:r>
        <w:rPr>
          <w:rFonts w:hint="eastAsia" w:ascii="仿宋_GB2312" w:hAnsi="宋体" w:eastAsia="仿宋_GB2312" w:cs="宋体"/>
          <w:sz w:val="24"/>
          <w:lang w:val="en-GB"/>
        </w:rPr>
        <w:t>，</w:t>
      </w:r>
      <w:r>
        <w:rPr>
          <w:rFonts w:hint="eastAsia" w:ascii="仿宋_GB2312" w:hAnsi="宋体" w:eastAsia="仿宋_GB2312" w:cs="宋体"/>
          <w:sz w:val="24"/>
        </w:rPr>
        <w:t>乙方应</w:t>
      </w:r>
      <w:r>
        <w:rPr>
          <w:rFonts w:hint="eastAsia" w:ascii="仿宋_GB2312" w:hAnsi="宋体" w:eastAsia="仿宋_GB2312" w:cs="宋体"/>
          <w:sz w:val="24"/>
          <w:lang w:val="en-GB"/>
        </w:rPr>
        <w:t>立即</w:t>
      </w:r>
      <w:r>
        <w:rPr>
          <w:rFonts w:hint="eastAsia" w:ascii="仿宋_GB2312" w:hAnsi="宋体" w:eastAsia="仿宋_GB2312" w:cs="宋体"/>
          <w:sz w:val="24"/>
        </w:rPr>
        <w:t>在甲方要求的时间内</w:t>
      </w:r>
      <w:r>
        <w:rPr>
          <w:rFonts w:hint="eastAsia" w:ascii="仿宋_GB2312" w:hAnsi="宋体" w:eastAsia="仿宋_GB2312" w:cs="宋体"/>
          <w:sz w:val="24"/>
          <w:lang w:val="en-GB"/>
        </w:rPr>
        <w:t>向甲方返还所有保密信息并不得保存副本，</w:t>
      </w:r>
      <w:r>
        <w:rPr>
          <w:rFonts w:hint="eastAsia" w:ascii="仿宋_GB2312" w:hAnsi="宋体" w:eastAsia="仿宋_GB2312" w:cs="宋体"/>
          <w:sz w:val="24"/>
        </w:rPr>
        <w:t>包括但不限于储存于</w:t>
      </w:r>
      <w:r>
        <w:rPr>
          <w:rFonts w:hint="eastAsia" w:ascii="仿宋_GB2312" w:hAnsi="宋体" w:eastAsia="仿宋_GB2312" w:cs="宋体"/>
          <w:sz w:val="24"/>
          <w:lang w:val="en-GB"/>
        </w:rPr>
        <w:t>计算机磁盘、CD-ROM驱动、CD-ROM、硬盘、软件或任何纸质媒介的材料</w:t>
      </w:r>
      <w:r>
        <w:rPr>
          <w:rFonts w:hint="eastAsia" w:ascii="仿宋_GB2312" w:hAnsi="宋体" w:eastAsia="仿宋_GB2312" w:cs="宋体"/>
          <w:sz w:val="24"/>
        </w:rPr>
        <w:t>及其</w:t>
      </w:r>
      <w:r>
        <w:rPr>
          <w:rFonts w:hint="eastAsia" w:ascii="仿宋_GB2312" w:hAnsi="宋体" w:eastAsia="仿宋_GB2312" w:cs="宋体"/>
          <w:sz w:val="24"/>
          <w:lang w:val="en-GB"/>
        </w:rPr>
        <w:t>备份。</w:t>
      </w:r>
      <w:r>
        <w:rPr>
          <w:rFonts w:hint="eastAsia" w:ascii="仿宋_GB2312" w:hAnsi="宋体" w:eastAsia="仿宋_GB2312" w:cs="宋体"/>
          <w:sz w:val="24"/>
        </w:rPr>
        <w:t>因</w:t>
      </w:r>
      <w:r>
        <w:rPr>
          <w:rFonts w:hint="eastAsia" w:ascii="仿宋_GB2312" w:hAnsi="宋体" w:eastAsia="仿宋_GB2312" w:cs="宋体"/>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24"/>
        </w:rPr>
        <w:t>同时乙方应</w:t>
      </w:r>
      <w:r>
        <w:rPr>
          <w:rFonts w:hint="eastAsia" w:ascii="仿宋_GB2312" w:hAnsi="宋体" w:eastAsia="仿宋_GB2312" w:cs="宋体"/>
          <w:sz w:val="24"/>
          <w:lang w:val="en-GB"/>
        </w:rPr>
        <w:t>向</w:t>
      </w:r>
      <w:r>
        <w:rPr>
          <w:rFonts w:hint="eastAsia" w:ascii="仿宋_GB2312" w:hAnsi="宋体" w:eastAsia="仿宋_GB2312" w:cs="宋体"/>
          <w:sz w:val="24"/>
        </w:rPr>
        <w:t>甲</w:t>
      </w:r>
      <w:r>
        <w:rPr>
          <w:rFonts w:hint="eastAsia" w:ascii="仿宋_GB2312" w:hAnsi="宋体" w:eastAsia="仿宋_GB2312" w:cs="宋体"/>
          <w:sz w:val="24"/>
          <w:lang w:val="en-GB"/>
        </w:rPr>
        <w:t>方出具已经归还或销毁</w:t>
      </w:r>
      <w:r>
        <w:rPr>
          <w:rFonts w:hint="eastAsia" w:ascii="仿宋_GB2312" w:hAnsi="宋体" w:eastAsia="仿宋_GB2312" w:cs="宋体"/>
          <w:sz w:val="24"/>
        </w:rPr>
        <w:t>全部</w:t>
      </w:r>
      <w:r>
        <w:rPr>
          <w:rFonts w:hint="eastAsia" w:ascii="仿宋_GB2312" w:hAnsi="宋体" w:eastAsia="仿宋_GB2312" w:cs="宋体"/>
          <w:sz w:val="24"/>
          <w:lang w:val="en-GB"/>
        </w:rPr>
        <w:t>材料的书面</w:t>
      </w:r>
      <w:r>
        <w:rPr>
          <w:rFonts w:hint="eastAsia" w:ascii="仿宋_GB2312" w:hAnsi="宋体" w:eastAsia="仿宋_GB2312" w:cs="宋体"/>
          <w:sz w:val="24"/>
        </w:rPr>
        <w:t>承诺。</w:t>
      </w:r>
    </w:p>
    <w:p w14:paraId="1EF6A8CF">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第六条保密期限</w:t>
      </w:r>
    </w:p>
    <w:p w14:paraId="77B6DD98">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除本协议双方另有约定外，本协议的保密期限自甲方提供保密信息之日起至本协议所述保密信息向公众披露或为公众所知悉之日止。</w:t>
      </w:r>
    </w:p>
    <w:p w14:paraId="3D600C9A">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第七条违约责任</w:t>
      </w:r>
    </w:p>
    <w:p w14:paraId="28D03781">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如乙方违反本协议约定，应立即停止使用保密信息。如果乙方董事、监事、高级管理人员、员工、股东、关联机构、代理、顾问、参与项目谈判的人员以及其他利益相关人的行为与本协议相违背，均视为乙方违反本协议。</w:t>
      </w:r>
    </w:p>
    <w:p w14:paraId="56EE153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双方确认，基于保密信息的性质，乙方任何违反本协议的行为将对甲方造成不可弥补的损害，乙方（包括乙方董事、监事、高级管理人员、员工、股东、关联机构、代理、顾问、参与项目谈判的人员以及其他利益相关人），应当对因违反本协议而给甲方及甲方关联公司造成的全部损失承担赔偿责任及可期待的商业利益损失。</w:t>
      </w:r>
    </w:p>
    <w:p w14:paraId="06B1F35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3、在各种情况下，双方一致认为甲方的损失均应被视为最少不低于</w:t>
      </w:r>
      <w:r>
        <w:rPr>
          <w:rFonts w:hint="eastAsia" w:ascii="仿宋_GB2312" w:eastAsia="仿宋_GB2312" w:hAnsiTheme="minorEastAsia" w:cstheme="minorEastAsia"/>
          <w:sz w:val="24"/>
          <w:u w:val="single"/>
        </w:rPr>
        <w:t>叁佰</w:t>
      </w:r>
      <w:r>
        <w:rPr>
          <w:rFonts w:hint="eastAsia" w:ascii="仿宋_GB2312" w:eastAsia="仿宋_GB2312" w:hAnsiTheme="minorEastAsia" w:cstheme="minorEastAsia"/>
          <w:sz w:val="24"/>
        </w:rPr>
        <w:t>万元。</w:t>
      </w:r>
    </w:p>
    <w:p w14:paraId="73D2430C">
      <w:pPr>
        <w:spacing w:line="360" w:lineRule="auto"/>
        <w:ind w:firstLine="480" w:firstLineChars="200"/>
        <w:rPr>
          <w:rFonts w:ascii="仿宋_GB2312" w:eastAsia="仿宋_GB2312"/>
          <w:sz w:val="24"/>
        </w:rPr>
      </w:pPr>
      <w:r>
        <w:rPr>
          <w:rFonts w:hint="eastAsia" w:ascii="仿宋_GB2312" w:eastAsia="仿宋_GB2312" w:hAnsiTheme="minorEastAsia" w:cstheme="minorEastAsia"/>
          <w:sz w:val="24"/>
        </w:rPr>
        <w:t>4、</w:t>
      </w:r>
      <w:r>
        <w:rPr>
          <w:rFonts w:hint="eastAsia" w:ascii="仿宋_GB2312" w:eastAsia="仿宋_GB2312"/>
          <w:sz w:val="24"/>
        </w:rPr>
        <w:t>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w:t>
      </w:r>
    </w:p>
    <w:p w14:paraId="646324C2">
      <w:pPr>
        <w:spacing w:line="360" w:lineRule="auto"/>
        <w:ind w:firstLine="480" w:firstLineChars="200"/>
        <w:rPr>
          <w:rFonts w:ascii="仿宋_GB2312" w:eastAsia="仿宋_GB2312"/>
          <w:sz w:val="24"/>
        </w:rPr>
      </w:pPr>
      <w:r>
        <w:rPr>
          <w:rFonts w:hint="eastAsia" w:ascii="仿宋_GB2312" w:eastAsia="仿宋_GB2312" w:hAnsiTheme="minorEastAsia" w:cstheme="minorEastAsia"/>
          <w:sz w:val="24"/>
        </w:rPr>
        <w:t>5、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4A861AFD">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第八条适用法律及争议的解决</w:t>
      </w:r>
    </w:p>
    <w:p w14:paraId="15C6470F">
      <w:pPr>
        <w:tabs>
          <w:tab w:val="left" w:pos="567"/>
        </w:tabs>
        <w:spacing w:line="360" w:lineRule="auto"/>
        <w:ind w:firstLine="480" w:firstLineChars="200"/>
        <w:rPr>
          <w:rFonts w:hint="eastAsia" w:ascii="仿宋_GB2312" w:hAnsi="宋体" w:eastAsia="仿宋_GB2312" w:cs="宋体"/>
          <w:sz w:val="24"/>
          <w:lang w:val="en-GB"/>
        </w:rPr>
      </w:pPr>
      <w:r>
        <w:rPr>
          <w:rFonts w:hint="eastAsia" w:ascii="仿宋_GB2312" w:hAnsi="宋体" w:eastAsia="仿宋_GB2312" w:cs="宋体"/>
          <w:sz w:val="24"/>
          <w:lang w:val="en-GB"/>
        </w:rPr>
        <w:t>本协议受中国现行</w:t>
      </w:r>
      <w:r>
        <w:rPr>
          <w:rFonts w:hint="eastAsia" w:ascii="仿宋_GB2312" w:hAnsi="宋体" w:eastAsia="仿宋_GB2312" w:cs="宋体"/>
          <w:sz w:val="24"/>
        </w:rPr>
        <w:t>有效的法律</w:t>
      </w:r>
      <w:r>
        <w:rPr>
          <w:rFonts w:hint="eastAsia" w:ascii="仿宋_GB2312" w:hAnsi="宋体" w:eastAsia="仿宋_GB2312" w:cs="宋体"/>
          <w:sz w:val="24"/>
          <w:lang w:val="en-GB"/>
        </w:rPr>
        <w:t>管辖，因本协议引起的或与本协议有关的任何争议，应由双方先行协商解决，协商不成的，由甲方所在地法院诉讼解决。</w:t>
      </w:r>
    </w:p>
    <w:p w14:paraId="72A0DA8B">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第九条继续有效</w:t>
      </w:r>
    </w:p>
    <w:p w14:paraId="1FED0D5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如果本协议有任何条款或部分因任何原因被判定为无效或不可执行，本协议其他条款不应受到影响，在法律允许的范围内继续具有完全效力。</w:t>
      </w:r>
    </w:p>
    <w:p w14:paraId="6426A730">
      <w:pPr>
        <w:spacing w:line="360" w:lineRule="auto"/>
        <w:ind w:firstLine="560" w:firstLineChars="200"/>
        <w:rPr>
          <w:rFonts w:hint="eastAsia" w:ascii="仿宋_GB2312" w:eastAsia="仿宋_GB2312" w:hAnsiTheme="minorEastAsia" w:cstheme="minorEastAsia"/>
          <w:sz w:val="24"/>
        </w:rPr>
      </w:pPr>
      <w:r>
        <w:rPr>
          <w:rFonts w:hint="eastAsia" w:ascii="黑体" w:hAnsi="黑体" w:eastAsia="黑体" w:cstheme="minorEastAsia"/>
          <w:bCs/>
          <w:sz w:val="28"/>
          <w:szCs w:val="28"/>
        </w:rPr>
        <w:t>第十条协议生效</w:t>
      </w:r>
    </w:p>
    <w:p w14:paraId="39E8C6B0">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1、协议双方同意，本协议于双方签署之日起生效。但是如果本协议签订前存在甲方向乙方提供保密信息的，也适用本协议。</w:t>
      </w:r>
    </w:p>
    <w:p w14:paraId="321B172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2、协议双方对本协议内容的修改或补充，应采用书面形式订立补充协议，补充协议经双方签署生效，成为本协议的有效组成部分、与本协议具有同等法律效力。</w:t>
      </w:r>
    </w:p>
    <w:p w14:paraId="5453ABAD">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3、本协议正本一式三份，甲方执两份，乙方执一份，具有同等法律效力。</w:t>
      </w:r>
    </w:p>
    <w:p w14:paraId="28EDDF6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兹此，双方已促使本协议由各自正式授权代表签署或加盖双方公章或合同专用章。</w:t>
      </w:r>
    </w:p>
    <w:p w14:paraId="489FED79">
      <w:pPr>
        <w:spacing w:line="360" w:lineRule="auto"/>
        <w:ind w:firstLine="480" w:firstLineChars="200"/>
        <w:rPr>
          <w:rFonts w:hint="eastAsia" w:ascii="仿宋_GB2312" w:eastAsia="仿宋_GB2312" w:hAnsiTheme="minorEastAsia" w:cstheme="minorEastAsia"/>
          <w:sz w:val="24"/>
        </w:rPr>
      </w:pPr>
    </w:p>
    <w:p w14:paraId="3A66153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本合同的各签约方选择使用电子签约的，已由法定代表人本人或授权其代理人在电子签约平台进行了实名注册，并通过CA证书进行签约。电子签约的任何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949E701">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32FF864">
      <w:pPr>
        <w:spacing w:line="360" w:lineRule="auto"/>
        <w:ind w:firstLine="480" w:firstLineChars="200"/>
        <w:rPr>
          <w:rFonts w:hint="eastAsia" w:ascii="仿宋_GB2312" w:eastAsia="仿宋_GB2312" w:hAnsiTheme="minorEastAsia" w:cstheme="minorEastAsia"/>
          <w:sz w:val="24"/>
        </w:rPr>
      </w:pPr>
    </w:p>
    <w:p w14:paraId="0258E4E1">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甲方：</w:t>
      </w:r>
      <w:r>
        <w:rPr>
          <w:rFonts w:hint="eastAsia" w:ascii="仿宋_GB2312" w:eastAsia="仿宋_GB2312" w:hAnsiTheme="minorEastAsia" w:cstheme="minorEastAsia"/>
          <w:sz w:val="24"/>
          <w:u w:val="single"/>
        </w:rPr>
        <w:t>中国重汽集团国际有限公司</w:t>
      </w:r>
      <w:r>
        <w:rPr>
          <w:rFonts w:hint="eastAsia" w:ascii="仿宋_GB2312" w:eastAsia="仿宋_GB2312" w:hAnsiTheme="minorEastAsia" w:cstheme="minorEastAsia"/>
          <w:sz w:val="24"/>
        </w:rPr>
        <w:t>（盖章）</w:t>
      </w:r>
    </w:p>
    <w:p w14:paraId="27514955">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法定代表人或授权代表：（签字）</w:t>
      </w:r>
    </w:p>
    <w:p w14:paraId="74770131">
      <w:pPr>
        <w:spacing w:line="360" w:lineRule="auto"/>
        <w:ind w:firstLine="5520" w:firstLineChars="23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年   月    日</w:t>
      </w:r>
    </w:p>
    <w:p w14:paraId="1475B84E">
      <w:pPr>
        <w:spacing w:line="360" w:lineRule="auto"/>
        <w:rPr>
          <w:rFonts w:hint="eastAsia" w:ascii="仿宋_GB2312" w:eastAsia="仿宋_GB2312" w:hAnsiTheme="minorEastAsia" w:cstheme="minorEastAsia"/>
          <w:sz w:val="24"/>
        </w:rPr>
      </w:pPr>
    </w:p>
    <w:p w14:paraId="032C336C">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乙方：（盖章）</w:t>
      </w:r>
    </w:p>
    <w:p w14:paraId="51BD7AB8">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法定代表人或授权代表：（签字）</w:t>
      </w:r>
    </w:p>
    <w:p w14:paraId="6D19BF6F">
      <w:pPr>
        <w:spacing w:line="360" w:lineRule="auto"/>
        <w:ind w:firstLine="5520" w:firstLineChars="23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年   月    日</w:t>
      </w:r>
    </w:p>
    <w:p w14:paraId="0FD1E6F6">
      <w:pPr>
        <w:rPr>
          <w:rFonts w:hint="eastAsia" w:ascii="宋体" w:hAnsi="宋体" w:cs="宋体"/>
          <w:b/>
          <w:bCs/>
          <w:sz w:val="44"/>
          <w:szCs w:val="44"/>
          <w:lang w:bidi="ar"/>
        </w:rPr>
      </w:pPr>
    </w:p>
    <w:p w14:paraId="7E20E124">
      <w:pPr>
        <w:pStyle w:val="6"/>
        <w:outlineLvl w:val="2"/>
        <w:rPr>
          <w:rFonts w:hint="eastAsia" w:hAnsi="宋体" w:eastAsia="宋体" w:cs="宋体"/>
          <w:b/>
          <w:bCs/>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1EBA84D7">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6"/>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6"/>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6"/>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6"/>
      </w:pPr>
      <w:r>
        <w:rPr>
          <w:rFonts w:hint="eastAsia" w:hAnsi="宋体" w:eastAsia="宋体" w:cs="宋体"/>
          <w:b/>
          <w:bCs/>
          <w:color w:val="000000"/>
          <w:sz w:val="24"/>
          <w:szCs w:val="28"/>
          <w:highlight w:val="yellow"/>
        </w:rPr>
        <w:t>2.配套能力“供货类别”填“品牌宣传”，业务主管部门选择“</w:t>
      </w:r>
      <w:r>
        <w:rPr>
          <w:rFonts w:hint="eastAsia" w:hAnsi="宋体" w:eastAsia="宋体" w:cs="宋体"/>
          <w:b/>
          <w:bCs/>
          <w:color w:val="000000"/>
          <w:sz w:val="24"/>
          <w:szCs w:val="28"/>
          <w:highlight w:val="yellow"/>
          <w:lang w:val="en-US" w:eastAsia="zh-CN"/>
        </w:rPr>
        <w:t>品牌与市场管理部</w:t>
      </w:r>
      <w:r>
        <w:rPr>
          <w:rFonts w:hint="eastAsia" w:hAnsi="宋体" w:eastAsia="宋体" w:cs="宋体"/>
          <w:b/>
          <w:bCs/>
          <w:color w:val="000000"/>
          <w:sz w:val="24"/>
          <w:szCs w:val="28"/>
          <w:highlight w:val="yellow"/>
        </w:rPr>
        <w:t>”。</w:t>
      </w:r>
    </w:p>
    <w:p w14:paraId="39BF1441">
      <w:pPr>
        <w:pStyle w:val="6"/>
        <w:sectPr>
          <w:pgSz w:w="11906" w:h="16838"/>
          <w:pgMar w:top="1588" w:right="1418" w:bottom="1134" w:left="1418" w:header="851" w:footer="992" w:gutter="0"/>
          <w:cols w:space="720" w:num="1"/>
          <w:titlePg/>
          <w:docGrid w:type="lines" w:linePitch="312" w:charSpace="0"/>
        </w:sectPr>
      </w:pPr>
    </w:p>
    <w:p w14:paraId="345FF8CE">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6"/>
        <w:rPr>
          <w:rFonts w:hint="eastAsia" w:hAnsi="宋体" w:eastAsia="宋体" w:cs="Times New Roman"/>
          <w:b/>
          <w:color w:val="000000"/>
          <w:sz w:val="24"/>
          <w:szCs w:val="24"/>
        </w:rPr>
      </w:pPr>
    </w:p>
    <w:p w14:paraId="5129D0CC">
      <w:pPr>
        <w:pStyle w:val="6"/>
        <w:rPr>
          <w:rFonts w:hint="eastAsia" w:hAnsi="宋体" w:eastAsia="宋体" w:cs="Times New Roman"/>
          <w:b/>
          <w:color w:val="000000"/>
          <w:sz w:val="24"/>
          <w:szCs w:val="24"/>
        </w:rPr>
      </w:pPr>
    </w:p>
    <w:p w14:paraId="09D63BEF">
      <w:pPr>
        <w:pStyle w:val="6"/>
        <w:bidi w:val="0"/>
        <w:rPr>
          <w:rFonts w:hint="eastAsia"/>
        </w:rPr>
      </w:pPr>
    </w:p>
    <w:p w14:paraId="6AE5B976">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4131D1A4">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B6E5FE8"/>
    <w:rsid w:val="0C682624"/>
    <w:rsid w:val="0E157D82"/>
    <w:rsid w:val="0F382F71"/>
    <w:rsid w:val="0FAC178F"/>
    <w:rsid w:val="0FE34B24"/>
    <w:rsid w:val="104C3089"/>
    <w:rsid w:val="15D53E6E"/>
    <w:rsid w:val="17525C24"/>
    <w:rsid w:val="1A5F0822"/>
    <w:rsid w:val="1CBE329F"/>
    <w:rsid w:val="25331BE5"/>
    <w:rsid w:val="27315D1D"/>
    <w:rsid w:val="28052233"/>
    <w:rsid w:val="283D5FEB"/>
    <w:rsid w:val="2F587E49"/>
    <w:rsid w:val="3AAA5DE6"/>
    <w:rsid w:val="40BD72A3"/>
    <w:rsid w:val="415E038C"/>
    <w:rsid w:val="41F106A4"/>
    <w:rsid w:val="44907102"/>
    <w:rsid w:val="44DF5E97"/>
    <w:rsid w:val="47DD599F"/>
    <w:rsid w:val="48031288"/>
    <w:rsid w:val="48EF075C"/>
    <w:rsid w:val="4A543A80"/>
    <w:rsid w:val="4B7153F0"/>
    <w:rsid w:val="4DD74341"/>
    <w:rsid w:val="4E25790F"/>
    <w:rsid w:val="51A11B6E"/>
    <w:rsid w:val="536770A5"/>
    <w:rsid w:val="57BF3EB6"/>
    <w:rsid w:val="594B58EE"/>
    <w:rsid w:val="5A053A32"/>
    <w:rsid w:val="5A1223DE"/>
    <w:rsid w:val="604271D8"/>
    <w:rsid w:val="64753845"/>
    <w:rsid w:val="66D60058"/>
    <w:rsid w:val="6B0F2793"/>
    <w:rsid w:val="6C152603"/>
    <w:rsid w:val="734930CE"/>
    <w:rsid w:val="77E571F5"/>
    <w:rsid w:val="787B2A9B"/>
    <w:rsid w:val="79E56A30"/>
    <w:rsid w:val="7A5738E1"/>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jc w:val="left"/>
    </w:pPr>
    <w:rPr>
      <w:rFonts w:ascii="Calibri" w:hAnsi="Calibri" w:eastAsia="宋体"/>
      <w:kern w:val="0"/>
      <w:sz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6366</Words>
  <Characters>6683</Characters>
  <Lines>0</Lines>
  <Paragraphs>0</Paragraphs>
  <TotalTime>11</TotalTime>
  <ScaleCrop>false</ScaleCrop>
  <LinksUpToDate>false</LinksUpToDate>
  <CharactersWithSpaces>6824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杨淑超</cp:lastModifiedBy>
  <dcterms:modified xsi:type="dcterms:W3CDTF">2026-05-27T07:26:56Z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