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3"/>
        <w:widowControl/>
        <w:jc w:val="center"/>
        <w:rPr>
          <w:i w:val="0"/>
          <w:iCs/>
          <w:sz w:val="32"/>
          <w:szCs w:val="32"/>
          <w:lang w:val="en-US"/>
        </w:rPr>
      </w:pPr>
      <w:bookmarkStart w:id="0" w:name="_Toc12866"/>
      <w:bookmarkStart w:id="1" w:name="_Toc16518"/>
      <w:bookmarkStart w:id="2" w:name="_Toc23462"/>
      <w:bookmarkStart w:id="3" w:name="_Toc9654"/>
      <w:bookmarkStart w:id="4" w:name="_Toc17817321"/>
      <w:r>
        <w:rPr>
          <w:rFonts w:hint="eastAsia" w:cs="宋体"/>
          <w:i w:val="0"/>
          <w:iCs/>
          <w:sz w:val="32"/>
          <w:szCs w:val="32"/>
          <w:lang w:val="en-US" w:eastAsia="zh-CN"/>
        </w:rPr>
        <w:t>中国重汽集团济南卡车股份有限公司莱芜厂区班宿舍物业服务项目招标公告</w:t>
      </w:r>
      <w:bookmarkEnd w:id="0"/>
    </w:p>
    <w:p w14:paraId="2538CB01">
      <w:pPr>
        <w:pStyle w:val="3"/>
        <w:widowControl/>
        <w:jc w:val="center"/>
        <w:rPr>
          <w:b/>
          <w:bCs/>
          <w:i w:val="0"/>
          <w:iCs/>
          <w:sz w:val="21"/>
          <w:szCs w:val="21"/>
          <w:highlight w:val="none"/>
          <w:lang w:val="en-US"/>
        </w:rPr>
      </w:pPr>
      <w:bookmarkStart w:id="5" w:name="_Toc27465"/>
      <w:r>
        <w:rPr>
          <w:rFonts w:hint="eastAsia" w:ascii="Cambria" w:hAnsi="Cambria" w:eastAsia="宋体" w:cs="宋体"/>
          <w:b/>
          <w:bCs/>
          <w:i w:val="0"/>
          <w:iCs/>
          <w:sz w:val="22"/>
          <w:szCs w:val="22"/>
          <w:highlight w:val="none"/>
          <w:lang w:eastAsia="zh-CN"/>
        </w:rPr>
        <w:t>招标编号：（ZBGL2026030359）</w:t>
      </w:r>
      <w:bookmarkEnd w:id="5"/>
    </w:p>
    <w:p w14:paraId="4F12E637">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1.项目概况</w:t>
      </w:r>
    </w:p>
    <w:p w14:paraId="6B5D507B">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Times New Roman" w:eastAsia="宋体" w:cs="宋体"/>
          <w:kern w:val="2"/>
          <w:sz w:val="24"/>
          <w:szCs w:val="24"/>
          <w:u w:val="none"/>
          <w:lang w:val="en-US" w:eastAsia="zh-CN" w:bidi="ar"/>
        </w:rPr>
      </w:pPr>
      <w:r>
        <w:rPr>
          <w:rFonts w:hint="eastAsia" w:ascii="宋体" w:hAnsi="Times New Roman" w:eastAsia="宋体" w:cs="宋体"/>
          <w:b w:val="0"/>
          <w:bCs w:val="0"/>
          <w:kern w:val="2"/>
          <w:sz w:val="24"/>
          <w:szCs w:val="24"/>
          <w:u w:val="none"/>
          <w:lang w:val="en-US" w:eastAsia="zh-CN" w:bidi="ar"/>
        </w:rPr>
        <w:t>根据中国重汽集团的使用需求，对</w:t>
      </w:r>
      <w:r>
        <w:rPr>
          <w:rFonts w:hint="eastAsia" w:ascii="宋体" w:cs="宋体"/>
          <w:b w:val="0"/>
          <w:bCs w:val="0"/>
          <w:kern w:val="2"/>
          <w:sz w:val="24"/>
          <w:szCs w:val="24"/>
          <w:u w:val="single"/>
          <w:lang w:val="en-US" w:eastAsia="zh-CN" w:bidi="ar"/>
        </w:rPr>
        <w:t xml:space="preserve"> </w:t>
      </w:r>
      <w:r>
        <w:rPr>
          <w:rFonts w:hint="eastAsia" w:ascii="宋体" w:hAnsi="Times New Roman" w:eastAsia="宋体" w:cs="宋体"/>
          <w:b w:val="0"/>
          <w:bCs w:val="0"/>
          <w:kern w:val="2"/>
          <w:sz w:val="24"/>
          <w:szCs w:val="24"/>
          <w:highlight w:val="yellow"/>
          <w:u w:val="single"/>
          <w:lang w:val="en-US" w:eastAsia="zh-CN" w:bidi="ar"/>
        </w:rPr>
        <w:t>中国重汽集团济南卡车股份有限公司莱芜厂区班宿舍物业服务项目</w:t>
      </w:r>
      <w:r>
        <w:rPr>
          <w:rFonts w:hint="eastAsia" w:ascii="宋体" w:cs="宋体"/>
          <w:b w:val="0"/>
          <w:bCs w:val="0"/>
          <w:kern w:val="2"/>
          <w:sz w:val="24"/>
          <w:szCs w:val="24"/>
          <w:u w:val="single"/>
          <w:lang w:val="en-US" w:eastAsia="zh-CN" w:bidi="ar"/>
        </w:rPr>
        <w:t xml:space="preserve"> </w:t>
      </w:r>
      <w:r>
        <w:rPr>
          <w:rFonts w:hint="eastAsia" w:ascii="宋体" w:hAnsi="Times New Roman" w:eastAsia="宋体" w:cs="宋体"/>
          <w:b w:val="0"/>
          <w:bCs w:val="0"/>
          <w:kern w:val="2"/>
          <w:sz w:val="24"/>
          <w:szCs w:val="24"/>
          <w:u w:val="none"/>
          <w:lang w:val="en-US" w:eastAsia="zh-CN" w:bidi="ar"/>
        </w:rPr>
        <w:t>进行公开招标，资金已落实，该项目具备招标条件，现组织公开招标，欢迎合格潜在投标人前来参加投标。</w:t>
      </w:r>
    </w:p>
    <w:p w14:paraId="2F2C6050">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2.项目基本情况</w:t>
      </w:r>
    </w:p>
    <w:p w14:paraId="2522A48E">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lang w:val="en-US"/>
        </w:rPr>
      </w:pPr>
      <w:bookmarkStart w:id="6" w:name="_Toc285809451"/>
      <w:bookmarkEnd w:id="6"/>
      <w:bookmarkStart w:id="7" w:name="_Toc179632530"/>
      <w:bookmarkEnd w:id="7"/>
      <w:bookmarkStart w:id="8" w:name="_Toc144974482"/>
      <w:bookmarkEnd w:id="8"/>
      <w:bookmarkStart w:id="9" w:name="_Toc152045514"/>
      <w:bookmarkEnd w:id="9"/>
      <w:bookmarkStart w:id="10" w:name="_Toc152042290"/>
      <w:bookmarkEnd w:id="10"/>
      <w:r>
        <w:rPr>
          <w:rFonts w:hint="eastAsia" w:ascii="宋体" w:hAnsi="宋体" w:eastAsia="宋体" w:cs="宋体"/>
          <w:kern w:val="0"/>
          <w:sz w:val="24"/>
          <w:szCs w:val="24"/>
          <w:lang w:val="en-US" w:eastAsia="zh-CN" w:bidi="en-US"/>
        </w:rPr>
        <w:t>2.1项目名称：</w:t>
      </w:r>
      <w:r>
        <w:rPr>
          <w:rFonts w:hint="eastAsia" w:ascii="宋体" w:hAnsi="宋体" w:eastAsia="宋体" w:cs="宋体"/>
          <w:kern w:val="0"/>
          <w:sz w:val="24"/>
          <w:szCs w:val="24"/>
          <w:highlight w:val="yellow"/>
          <w:lang w:val="en-US" w:eastAsia="zh-CN" w:bidi="en-US"/>
        </w:rPr>
        <w:t>中国重汽集团济南卡车股份有限公司莱芜厂区班宿舍物业服务项目</w:t>
      </w:r>
    </w:p>
    <w:p w14:paraId="53F11C62">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szCs w:val="24"/>
          <w:highlight w:val="yellow"/>
          <w:lang w:val="en-US" w:bidi="en-US"/>
        </w:rPr>
      </w:pPr>
      <w:r>
        <w:rPr>
          <w:rFonts w:hint="eastAsia" w:ascii="宋体" w:hAnsi="宋体" w:eastAsia="宋体" w:cs="宋体"/>
          <w:kern w:val="0"/>
          <w:sz w:val="24"/>
          <w:szCs w:val="24"/>
          <w:lang w:val="en-US" w:eastAsia="zh-CN" w:bidi="en-US"/>
        </w:rPr>
        <w:t>2.2采购方式：</w:t>
      </w:r>
      <w:r>
        <w:rPr>
          <w:rFonts w:hint="eastAsia" w:ascii="宋体" w:hAnsi="宋体" w:cs="宋体"/>
          <w:kern w:val="0"/>
          <w:sz w:val="24"/>
          <w:szCs w:val="24"/>
          <w:highlight w:val="yellow"/>
          <w:lang w:val="en-US" w:eastAsia="zh-CN" w:bidi="en-US"/>
        </w:rPr>
        <w:t>公开招标</w:t>
      </w:r>
    </w:p>
    <w:p w14:paraId="4E0ADAEC">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2.3采购内容：</w:t>
      </w:r>
    </w:p>
    <w:p w14:paraId="1EB592E9">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highlight w:val="yellow"/>
          <w:lang w:val="en-US" w:eastAsia="zh-CN" w:bidi="en-US"/>
        </w:rPr>
        <w:t>中国重汽集团济南卡车股份有限公司莱芜厂区倒班宿舍建筑面积约36397.07平方米，常年住宿人员约1600余人，为了做好倒班宿舍物业综合管理、绿化、保洁、安保、简易维修、职工之家保洁、运动场管理、园区通行检查等工作，特通过公开招标，完善园区宿舍物业服务工作</w:t>
      </w:r>
      <w:r>
        <w:rPr>
          <w:rFonts w:hint="eastAsia" w:ascii="宋体" w:hAnsi="宋体" w:cs="宋体"/>
          <w:kern w:val="0"/>
          <w:sz w:val="24"/>
          <w:szCs w:val="24"/>
          <w:highlight w:val="yellow"/>
          <w:lang w:val="en-US" w:eastAsia="zh-CN" w:bidi="en-US"/>
        </w:rPr>
        <w:t>。</w:t>
      </w:r>
    </w:p>
    <w:p w14:paraId="41BBAA1D">
      <w:pPr>
        <w:spacing w:line="320" w:lineRule="exact"/>
        <w:rPr>
          <w:rFonts w:hint="eastAsia" w:ascii="宋体" w:hAnsi="宋体" w:cs="宋体"/>
          <w:b/>
          <w:bCs/>
          <w:sz w:val="24"/>
          <w:szCs w:val="24"/>
          <w:highlight w:val="yellow"/>
          <w:lang w:val="en-US" w:eastAsia="zh-CN"/>
        </w:rPr>
      </w:pPr>
    </w:p>
    <w:p w14:paraId="38C2E6B8">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109A21A7">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（1）投标人须遵守《中华人民共和国招标投标法》、《中华人民共和国民法典》及其它有关的法律和法规；为中华人民共和国境内注册的独立法人机构，具有独立承担民事责任能力；</w:t>
      </w:r>
    </w:p>
    <w:p w14:paraId="718E5CF7">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（2）公司成立三年以上（以营业执照成立日期到开标当日满三年为准）；注册资金不少于1000万元人民币；</w:t>
      </w:r>
    </w:p>
    <w:p w14:paraId="65F7516F">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（3）投标人须提供具有统一社会信用代码的新版营业执照副本原件及复印件（加盖公章）；</w:t>
      </w:r>
    </w:p>
    <w:p w14:paraId="6A3178EA">
      <w:pPr>
        <w:pStyle w:val="14"/>
        <w:spacing w:line="360" w:lineRule="auto"/>
        <w:ind w:firstLine="480" w:firstLineChars="200"/>
        <w:rPr>
          <w:rFonts w:hint="default"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（4）</w:t>
      </w:r>
      <w:r>
        <w:rPr>
          <w:rFonts w:hint="default" w:ascii="宋体" w:hAnsi="宋体" w:eastAsia="宋体" w:cs="宋体"/>
          <w:kern w:val="0"/>
          <w:sz w:val="24"/>
          <w:szCs w:val="24"/>
          <w:highlight w:val="yellow"/>
          <w:lang w:val="en-US" w:eastAsia="zh-CN" w:bidi="en-US"/>
        </w:rPr>
        <w:t>企业最近半年完税证明、信用证明材料（中国人民银行信用代码证+征信报告）；</w:t>
      </w:r>
    </w:p>
    <w:p w14:paraId="25A37CF5">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（5）</w:t>
      </w:r>
      <w:r>
        <w:rPr>
          <w:rFonts w:hint="default" w:ascii="宋体" w:hAnsi="宋体" w:eastAsia="宋体" w:cs="宋体"/>
          <w:kern w:val="0"/>
          <w:sz w:val="24"/>
          <w:szCs w:val="24"/>
          <w:highlight w:val="yellow"/>
          <w:lang w:val="en-US" w:eastAsia="zh-CN" w:bidi="en-US"/>
        </w:rPr>
        <w:t>年度纳税信用评价信息（可从电子税务局查询截图，需加盖公章）；</w:t>
      </w:r>
    </w:p>
    <w:p w14:paraId="31D896A4">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（6）</w:t>
      </w:r>
      <w:r>
        <w:rPr>
          <w:rFonts w:hint="default" w:ascii="宋体" w:hAnsi="宋体" w:eastAsia="宋体" w:cs="宋体"/>
          <w:kern w:val="0"/>
          <w:sz w:val="24"/>
          <w:szCs w:val="24"/>
          <w:highlight w:val="yellow"/>
          <w:lang w:val="en-US" w:eastAsia="zh-CN" w:bidi="en-US"/>
        </w:rPr>
        <w:t>企业对外担保说明（写明贵单位对外有无对外担保和质押业务，需加盖公章）</w:t>
      </w:r>
      <w:r>
        <w:rPr>
          <w:rFonts w:hint="eastAsia" w:ascii="宋体" w:hAnsi="宋体" w:eastAsia="宋体" w:cs="宋体"/>
          <w:kern w:val="0"/>
          <w:sz w:val="24"/>
          <w:szCs w:val="24"/>
          <w:highlight w:val="yellow"/>
          <w:lang w:val="en-US" w:eastAsia="zh-CN" w:bidi="en-US"/>
        </w:rPr>
        <w:t>；</w:t>
      </w:r>
    </w:p>
    <w:p w14:paraId="6B55B6D0">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（7）具有良好的商业信誉，在国家企业信用信息公示系统中无行政处罚、列入经营异常名录和列入严重违法失信企业名单（黑名单）信息或上述信息已被移除；</w:t>
      </w:r>
    </w:p>
    <w:p w14:paraId="426021B9">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（8）投标人营业执照中经营范围包括物业管理等方面具有承担本项目的能力，近三年内在经营活动中无重大违法记录；</w:t>
      </w:r>
    </w:p>
    <w:p w14:paraId="2453878B">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（9）具有健全的财务会计制度，财务状况和市场行为良好。没有处于被有权机关吊销营业执照、吊销资质、停业整顿、取消投标资格以及财产被接管、冻结或进入破产程序等,提供相关信用等级和完税证明；</w:t>
      </w:r>
    </w:p>
    <w:p w14:paraId="2FC12F13">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（10）投标人没有被列入招标人处《黑名单》（《黑名单》指投标人与招标人在以往或正在进行的合作中，存在招标人认为的违反合同约定或违反法律法规等的失信行为）的, 供方的直接或间接股东、法定代表人、董事、监事、高管非重汽员工及其亲属；</w:t>
      </w:r>
    </w:p>
    <w:p w14:paraId="020CCA6A">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11）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F249661">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（12）投标人须提供法人授权委托书原件，及投标单位的法定代表人或授权代表的身份证原件及复印件（加盖公章）；</w:t>
      </w:r>
    </w:p>
    <w:p w14:paraId="36455C8C">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（13）投标人须具有履行合同所必须的车辆、财务、技术、服务方面的资质和能力；</w:t>
      </w:r>
    </w:p>
    <w:p w14:paraId="0ED1EF6E">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（14）投标人须具有完全履行招标文件的所有要求的能力；</w:t>
      </w:r>
    </w:p>
    <w:p w14:paraId="2CF57184">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（15）投标人须认可招标人的工作指令，包括节、假日能正常开展工作的要求；</w:t>
      </w:r>
    </w:p>
    <w:p w14:paraId="54464250">
      <w:pPr>
        <w:pStyle w:val="14"/>
        <w:spacing w:line="360" w:lineRule="auto"/>
        <w:ind w:firstLine="480" w:firstLineChars="200"/>
        <w:rPr>
          <w:rFonts w:hint="eastAsia" w:ascii="宋体" w:hAnsi="宋体" w:eastAsia="宋体" w:cs="宋体"/>
          <w:kern w:val="0"/>
          <w:sz w:val="24"/>
          <w:szCs w:val="24"/>
          <w:highlight w:val="yellow"/>
          <w:lang w:val="en-US" w:eastAsia="zh-CN" w:bidi="en-US"/>
        </w:rPr>
      </w:pPr>
      <w:r>
        <w:rPr>
          <w:rFonts w:hint="eastAsia" w:ascii="宋体" w:hAnsi="宋体" w:eastAsia="宋体" w:cs="宋体"/>
          <w:kern w:val="0"/>
          <w:sz w:val="24"/>
          <w:szCs w:val="24"/>
          <w:highlight w:val="yellow"/>
          <w:lang w:val="en-US" w:eastAsia="zh-CN" w:bidi="en-US"/>
        </w:rPr>
        <w:t>（16）投标人必须是最终投标、签订合同的单位，不得以任何理由将已中标项目以任何形式转包给其他单位；</w:t>
      </w:r>
    </w:p>
    <w:p w14:paraId="4DC437B6">
      <w:pPr>
        <w:pStyle w:val="14"/>
        <w:spacing w:line="360" w:lineRule="auto"/>
        <w:ind w:firstLine="480" w:firstLineChars="200"/>
        <w:rPr>
          <w:rFonts w:hint="eastAsia" w:eastAsia="宋体"/>
          <w:highlight w:val="yellow"/>
          <w:lang w:eastAsia="zh-CN"/>
        </w:rPr>
      </w:pPr>
      <w:r>
        <w:rPr>
          <w:rFonts w:hint="eastAsia" w:ascii="宋体" w:hAnsi="宋体" w:eastAsia="宋体" w:cs="宋体"/>
          <w:kern w:val="0"/>
          <w:sz w:val="24"/>
          <w:szCs w:val="24"/>
          <w:highlight w:val="yellow"/>
          <w:lang w:val="en-US" w:eastAsia="zh-CN" w:bidi="en-US"/>
        </w:rPr>
        <w:t>（17）本次招标项目不接受联合体投标。</w:t>
      </w:r>
    </w:p>
    <w:p w14:paraId="5678B2CD">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left"/>
        <w:textAlignment w:val="auto"/>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1"/>
    <w:bookmarkEnd w:id="2"/>
    <w:p w14:paraId="568A9E0D">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72AE0AAF">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2298A4E4">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14:paraId="5EE0F178">
      <w:pPr>
        <w:widowControl/>
        <w:adjustRightInd w:val="0"/>
        <w:snapToGrid w:val="0"/>
        <w:spacing w:line="360" w:lineRule="auto"/>
        <w:ind w:firstLine="480" w:firstLineChars="200"/>
        <w:jc w:val="left"/>
        <w:rPr>
          <w:rFonts w:hint="default" w:eastAsia="宋体"/>
          <w:kern w:val="0"/>
          <w:sz w:val="24"/>
          <w:szCs w:val="21"/>
          <w:highlight w:val="yellow"/>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2026年4月9</w:t>
      </w:r>
      <w:r>
        <w:rPr>
          <w:rFonts w:hint="eastAsia" w:eastAsia="宋体"/>
          <w:kern w:val="0"/>
          <w:sz w:val="24"/>
          <w:szCs w:val="21"/>
          <w:highlight w:val="yellow"/>
          <w:u w:val="single"/>
          <w:lang w:val="en-US" w:eastAsia="zh-CN" w:bidi="en-US"/>
        </w:rPr>
        <w:t>日17时00分00秒，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r>
        <w:rPr>
          <w:rFonts w:hint="eastAsia"/>
          <w:b/>
          <w:bCs/>
          <w:color w:val="FF0000"/>
          <w:kern w:val="0"/>
          <w:sz w:val="24"/>
          <w:szCs w:val="21"/>
          <w:highlight w:val="yellow"/>
          <w:lang w:val="en-US" w:eastAsia="zh-CN" w:bidi="en-US"/>
        </w:rPr>
        <w:t>应标结束后，招标方将会组织统一勘查现场，不参加现场勘查的投标单位视为技术资格审查不合格，不允许参与此次项目投标工作。</w:t>
      </w:r>
    </w:p>
    <w:p w14:paraId="68E4EA01">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31BF97B1">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r>
        <w:rPr>
          <w:rFonts w:hint="eastAsia" w:ascii="宋体" w:cs="宋体"/>
          <w:b/>
          <w:bCs/>
          <w:sz w:val="24"/>
          <w:lang w:bidi="ar"/>
        </w:rPr>
        <w:t>请投标人确认中国重汽e采通系统中供应商信息完整、准确，因供应商信息不全或错误导致的报名不成功，由投标人自行承担。数据依据为报名单位提供的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color w:val="FF0000"/>
          <w:sz w:val="24"/>
          <w:highlight w:val="none"/>
          <w:lang w:bidi="ar"/>
        </w:rPr>
        <w:t>，e采通注册时未填报财务数据的，将无法提交应标资料并无法参加投标，</w:t>
      </w:r>
      <w:r>
        <w:rPr>
          <w:rFonts w:hint="eastAsia" w:ascii="宋体" w:hAnsi="宋体" w:eastAsia="宋体" w:cs="宋体"/>
          <w:b/>
          <w:bCs/>
          <w:color w:val="FF0000"/>
          <w:sz w:val="24"/>
          <w:szCs w:val="24"/>
          <w:highlight w:val="none"/>
        </w:rPr>
        <w:t>已注册的投标人</w:t>
      </w:r>
      <w:r>
        <w:rPr>
          <w:rFonts w:hint="eastAsia" w:ascii="宋体" w:hAnsi="宋体" w:eastAsia="宋体" w:cs="宋体"/>
          <w:b/>
          <w:bCs/>
          <w:color w:val="FF0000"/>
          <w:sz w:val="24"/>
          <w:szCs w:val="24"/>
          <w:highlight w:val="none"/>
          <w:lang w:val="en-US" w:eastAsia="zh-CN"/>
        </w:rPr>
        <w:t>请登录</w:t>
      </w:r>
      <w:r>
        <w:rPr>
          <w:rFonts w:hint="eastAsia" w:ascii="宋体" w:hAnsi="宋体" w:eastAsia="宋体" w:cs="宋体"/>
          <w:b/>
          <w:bCs/>
          <w:color w:val="FF0000"/>
          <w:sz w:val="24"/>
          <w:szCs w:val="24"/>
          <w:highlight w:val="none"/>
        </w:rPr>
        <w:t>重汽e采通平台</w:t>
      </w:r>
      <w:r>
        <w:rPr>
          <w:rFonts w:hint="eastAsia" w:ascii="宋体" w:hAnsi="宋体" w:eastAsia="宋体" w:cs="宋体"/>
          <w:b/>
          <w:bCs/>
          <w:color w:val="FF0000"/>
          <w:sz w:val="24"/>
          <w:szCs w:val="24"/>
          <w:highlight w:val="none"/>
          <w:lang w:val="en-US" w:eastAsia="zh-CN"/>
        </w:rPr>
        <w:t>自行</w:t>
      </w:r>
      <w:r>
        <w:rPr>
          <w:rFonts w:hint="eastAsia" w:ascii="宋体" w:hAnsi="宋体" w:eastAsia="宋体" w:cs="宋体"/>
          <w:b/>
          <w:bCs/>
          <w:color w:val="FF0000"/>
          <w:sz w:val="24"/>
          <w:szCs w:val="24"/>
          <w:highlight w:val="none"/>
        </w:rPr>
        <w:t>检查更新近三年的经营概况，财务信息更新到近三年，且不许有空余，若因此造成应标不成功，后果由投标人自行承担。（更新路径：重汽e采通-供应商中心-供应商变更-供应商财务数据变更管理-右上角：发起变更）</w:t>
      </w:r>
    </w:p>
    <w:p w14:paraId="4D63C97E">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yellow"/>
          <w:lang w:val="en-US" w:eastAsia="zh-CN"/>
        </w:rPr>
        <w:t>保卫保障部</w:t>
      </w:r>
      <w:r>
        <w:rPr>
          <w:rStyle w:val="27"/>
          <w:rFonts w:hint="eastAsia" w:ascii="宋体" w:cs="宋体"/>
          <w:color w:val="auto"/>
          <w:sz w:val="24"/>
          <w:highlight w:val="yellow"/>
        </w:rPr>
        <w:t>”，从非生产招标板块进入，“</w:t>
      </w:r>
      <w:r>
        <w:rPr>
          <w:rStyle w:val="27"/>
          <w:rFonts w:hint="eastAsia" w:ascii="宋体" w:cs="宋体"/>
          <w:color w:val="auto"/>
          <w:sz w:val="24"/>
          <w:highlight w:val="yellow"/>
          <w:lang w:val="en-US" w:eastAsia="zh-CN"/>
        </w:rPr>
        <w:t>服务</w:t>
      </w:r>
      <w:r>
        <w:rPr>
          <w:rStyle w:val="27"/>
          <w:rFonts w:hint="eastAsia" w:ascii="宋体" w:cs="宋体"/>
          <w:color w:val="auto"/>
          <w:sz w:val="24"/>
          <w:highlight w:val="yellow"/>
        </w:rPr>
        <w:t>类别”</w:t>
      </w:r>
      <w:r>
        <w:rPr>
          <w:rStyle w:val="27"/>
          <w:rFonts w:hint="eastAsia" w:ascii="宋体" w:cs="宋体"/>
          <w:color w:val="auto"/>
          <w:sz w:val="24"/>
          <w:highlight w:val="yellow"/>
          <w:lang w:val="en-US" w:eastAsia="zh-CN"/>
        </w:rPr>
        <w:t>选择</w:t>
      </w:r>
      <w:r>
        <w:rPr>
          <w:rStyle w:val="27"/>
          <w:rFonts w:hint="eastAsia" w:ascii="宋体" w:cs="宋体"/>
          <w:color w:val="auto"/>
          <w:sz w:val="24"/>
          <w:highlight w:val="yellow"/>
        </w:rPr>
        <w:t>“</w:t>
      </w:r>
      <w:r>
        <w:rPr>
          <w:rStyle w:val="27"/>
          <w:rFonts w:hint="eastAsia" w:ascii="宋体" w:cs="宋体"/>
          <w:color w:val="auto"/>
          <w:sz w:val="24"/>
          <w:highlight w:val="yellow"/>
          <w:lang w:val="en-US" w:eastAsia="zh-CN"/>
        </w:rPr>
        <w:t>后勤保卫</w:t>
      </w:r>
      <w:r>
        <w:rPr>
          <w:rStyle w:val="27"/>
          <w:rFonts w:hint="eastAsia" w:ascii="宋体" w:cs="宋体"/>
          <w:color w:val="auto"/>
          <w:sz w:val="24"/>
          <w:highlight w:val="yellow"/>
        </w:rPr>
        <w:t>”。</w:t>
      </w:r>
    </w:p>
    <w:p w14:paraId="45897689">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4AB00D5B">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14:paraId="60A5ED65">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w:t>
      </w:r>
      <w:r>
        <w:rPr>
          <w:rFonts w:hint="eastAsia" w:ascii="宋体" w:cs="宋体"/>
          <w:kern w:val="0"/>
          <w:sz w:val="24"/>
          <w:highlight w:val="none"/>
          <w:lang w:bidi="en-US"/>
        </w:rPr>
        <w:t>费：无。</w:t>
      </w:r>
    </w:p>
    <w:p w14:paraId="171DA05F">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2AB5088E">
      <w:pPr>
        <w:widowControl/>
        <w:adjustRightInd w:val="0"/>
        <w:snapToGrid w:val="0"/>
        <w:spacing w:line="360" w:lineRule="auto"/>
        <w:ind w:firstLine="480" w:firstLineChars="200"/>
        <w:jc w:val="left"/>
        <w:rPr>
          <w:rFonts w:hint="eastAsia" w:ascii="宋体" w:cs="宋体"/>
          <w:kern w:val="0"/>
          <w:sz w:val="24"/>
          <w:lang w:bidi="en-US"/>
        </w:rPr>
      </w:pPr>
      <w:r>
        <w:rPr>
          <w:rFonts w:hint="eastAsia" w:ascii="宋体" w:cs="宋体"/>
          <w:kern w:val="0"/>
          <w:sz w:val="24"/>
          <w:lang w:bidi="en-US"/>
        </w:rPr>
        <w:t>4.5中标服务费：无。</w:t>
      </w:r>
    </w:p>
    <w:p w14:paraId="5660AE38">
      <w:pPr>
        <w:widowControl/>
        <w:adjustRightInd w:val="0"/>
        <w:snapToGrid w:val="0"/>
        <w:spacing w:line="360" w:lineRule="auto"/>
        <w:ind w:firstLine="480" w:firstLineChars="200"/>
        <w:jc w:val="left"/>
        <w:rPr>
          <w:rFonts w:hint="default" w:ascii="宋体" w:eastAsia="宋体" w:cs="宋体"/>
          <w:kern w:val="0"/>
          <w:sz w:val="24"/>
          <w:lang w:val="en-US" w:eastAsia="zh-CN" w:bidi="en-US"/>
        </w:rPr>
      </w:pPr>
      <w:r>
        <w:rPr>
          <w:rFonts w:hint="eastAsia" w:ascii="宋体" w:cs="宋体"/>
          <w:kern w:val="0"/>
          <w:sz w:val="24"/>
          <w:lang w:val="en-US" w:eastAsia="zh-CN" w:bidi="en-US"/>
        </w:rPr>
        <w:t>4.6</w:t>
      </w:r>
      <w:r>
        <w:rPr>
          <w:rFonts w:hint="eastAsia" w:ascii="宋体" w:cs="宋体"/>
          <w:kern w:val="0"/>
          <w:sz w:val="24"/>
          <w:highlight w:val="yellow"/>
          <w:lang w:val="en-US" w:eastAsia="zh-CN" w:bidi="en-US"/>
        </w:rPr>
        <w:t>合同履约保证金：人民币玖拾万元（90万元），中标单位签订合同后15日内缴纳到招标方指定账户，合同期结束后，根据招标方财务部门相关规定30个工作日内退还。</w:t>
      </w:r>
    </w:p>
    <w:p w14:paraId="09AF1BE1">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09BD65A6">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lang w:eastAsia="zh-CN" w:bidi="en-US"/>
        </w:rPr>
        <w:t>：</w:t>
      </w:r>
      <w:r>
        <w:rPr>
          <w:rFonts w:hint="eastAsia"/>
          <w:kern w:val="0"/>
          <w:sz w:val="24"/>
          <w:szCs w:val="21"/>
          <w:highlight w:val="yellow"/>
          <w:u w:val="single"/>
          <w:lang w:val="en-US" w:eastAsia="zh-CN" w:bidi="en-US"/>
        </w:rPr>
        <w:t>2026年4月17</w:t>
      </w:r>
      <w:r>
        <w:rPr>
          <w:rFonts w:hint="eastAsia" w:eastAsia="宋体"/>
          <w:kern w:val="0"/>
          <w:sz w:val="24"/>
          <w:szCs w:val="21"/>
          <w:highlight w:val="yellow"/>
          <w:u w:val="single"/>
          <w:lang w:val="en-US" w:eastAsia="zh-CN" w:bidi="en-US"/>
        </w:rPr>
        <w:t>日</w:t>
      </w:r>
      <w:r>
        <w:rPr>
          <w:rFonts w:hint="eastAsia"/>
          <w:kern w:val="0"/>
          <w:sz w:val="24"/>
          <w:szCs w:val="21"/>
          <w:highlight w:val="yellow"/>
          <w:u w:val="single"/>
          <w:lang w:val="en-US" w:eastAsia="zh-CN" w:bidi="en-US"/>
        </w:rPr>
        <w:t>9</w:t>
      </w:r>
      <w:r>
        <w:rPr>
          <w:rFonts w:hint="eastAsia" w:eastAsia="宋体"/>
          <w:kern w:val="0"/>
          <w:sz w:val="24"/>
          <w:szCs w:val="21"/>
          <w:highlight w:val="yellow"/>
          <w:u w:val="single"/>
          <w:lang w:val="en-US" w:eastAsia="zh-CN" w:bidi="en-US"/>
        </w:rPr>
        <w:t>时00分00秒，</w:t>
      </w:r>
      <w:r>
        <w:rPr>
          <w:rFonts w:hint="eastAsia" w:ascii="宋体" w:cs="宋体"/>
          <w:b/>
          <w:bCs/>
          <w:kern w:val="0"/>
          <w:sz w:val="24"/>
          <w:highlight w:val="none"/>
          <w:lang w:val="en-US" w:eastAsia="zh-CN" w:bidi="en-US"/>
        </w:rPr>
        <w:t>同开标时间，</w:t>
      </w:r>
      <w:r>
        <w:rPr>
          <w:rFonts w:hint="eastAsia" w:ascii="宋体" w:cs="宋体"/>
          <w:b/>
          <w:bCs/>
          <w:kern w:val="0"/>
          <w:sz w:val="24"/>
          <w:lang w:bidi="en-US"/>
        </w:rPr>
        <w:t>详见招标文件</w:t>
      </w:r>
      <w:r>
        <w:rPr>
          <w:rFonts w:hint="eastAsia" w:ascii="宋体" w:cs="宋体"/>
          <w:kern w:val="0"/>
          <w:sz w:val="24"/>
          <w:lang w:bidi="en-US"/>
        </w:rPr>
        <w:t>。</w:t>
      </w:r>
      <w:bookmarkStart w:id="12" w:name="_GoBack"/>
      <w:bookmarkEnd w:id="12"/>
    </w:p>
    <w:p w14:paraId="7FEF7C39">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2254B366">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58241CDF">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本公告在中国重汽官网、山东省阳光采购服务平台等公开媒体公布。</w:t>
      </w:r>
    </w:p>
    <w:p w14:paraId="1B9EE00A">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1" w:name="_Toc234382576"/>
      <w:bookmarkEnd w:id="11"/>
      <w:r>
        <w:rPr>
          <w:rFonts w:hint="eastAsia" w:ascii="宋体" w:cs="宋体"/>
          <w:b/>
          <w:bCs/>
          <w:kern w:val="0"/>
          <w:sz w:val="24"/>
          <w:lang w:bidi="en-US"/>
        </w:rPr>
        <w:t>．联系方式</w:t>
      </w:r>
    </w:p>
    <w:p w14:paraId="3B48E4A8">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cs="宋体"/>
          <w:kern w:val="0"/>
          <w:sz w:val="24"/>
          <w:highlight w:val="none"/>
          <w:u w:val="single"/>
          <w:lang w:bidi="en-US"/>
        </w:rPr>
        <w:t>中国重汽集团</w:t>
      </w:r>
      <w:r>
        <w:rPr>
          <w:rFonts w:hint="eastAsia" w:ascii="宋体" w:cs="宋体"/>
          <w:kern w:val="0"/>
          <w:sz w:val="24"/>
          <w:highlight w:val="none"/>
          <w:u w:val="single"/>
          <w:lang w:val="en-US" w:eastAsia="zh-CN" w:bidi="en-US"/>
        </w:rPr>
        <w:t>济南卡车股份</w:t>
      </w:r>
      <w:r>
        <w:rPr>
          <w:rFonts w:hint="eastAsia" w:ascii="宋体" w:cs="宋体"/>
          <w:kern w:val="0"/>
          <w:sz w:val="24"/>
          <w:highlight w:val="none"/>
          <w:u w:val="single"/>
          <w:lang w:bidi="en-US"/>
        </w:rPr>
        <w:t>有限公司</w:t>
      </w:r>
    </w:p>
    <w:p w14:paraId="004A24D3">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cs="宋体"/>
          <w:kern w:val="0"/>
          <w:sz w:val="24"/>
          <w:highlight w:val="none"/>
          <w:lang w:bidi="en-US"/>
        </w:rPr>
        <w:t>地    址：</w:t>
      </w:r>
      <w:r>
        <w:rPr>
          <w:rFonts w:hint="eastAsia" w:cs="宋体"/>
          <w:kern w:val="0"/>
          <w:sz w:val="24"/>
          <w:highlight w:val="none"/>
          <w:lang w:val="en-US" w:eastAsia="zh-CN" w:bidi="en-US"/>
        </w:rPr>
        <w:t>山东省济南市莱芜区莱城大道777号济南卡车制造公司</w:t>
      </w:r>
    </w:p>
    <w:p w14:paraId="2A7CD98B">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 系 人：</w:t>
      </w:r>
      <w:r>
        <w:rPr>
          <w:rFonts w:hint="eastAsia" w:ascii="宋体" w:cs="宋体"/>
          <w:kern w:val="0"/>
          <w:sz w:val="24"/>
          <w:highlight w:val="none"/>
          <w:lang w:val="en-US" w:eastAsia="zh-CN" w:bidi="en-US"/>
        </w:rPr>
        <w:t>杨济志（技术及现场勘查）、王瑄（招标注册及商务）</w:t>
      </w:r>
    </w:p>
    <w:p w14:paraId="1F608C66">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联系方式：</w:t>
      </w:r>
      <w:r>
        <w:rPr>
          <w:rFonts w:hint="eastAsia" w:ascii="宋体" w:cs="宋体"/>
          <w:kern w:val="0"/>
          <w:sz w:val="24"/>
          <w:highlight w:val="none"/>
          <w:lang w:val="en-US" w:eastAsia="zh-CN" w:bidi="en-US"/>
        </w:rPr>
        <w:t>13021700244、17860605786</w:t>
      </w:r>
    </w:p>
    <w:p w14:paraId="1E2B3029">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hint="eastAsia" w:ascii="宋体" w:cs="宋体"/>
          <w:kern w:val="0"/>
          <w:sz w:val="24"/>
          <w:highlight w:val="none"/>
          <w:lang w:bidi="en-US"/>
        </w:rPr>
        <w:t>电子邮件：</w:t>
      </w:r>
      <w:r>
        <w:rPr>
          <w:rFonts w:hint="eastAsia" w:eastAsia="宋体" w:cs="Times New Roman"/>
          <w:color w:val="auto"/>
          <w:highlight w:val="none"/>
          <w:lang w:val="en-US" w:eastAsia="zh-CN"/>
        </w:rPr>
        <w:t>yangjizhi</w:t>
      </w:r>
      <w:r>
        <w:rPr>
          <w:rFonts w:hint="eastAsia" w:hAnsi="Courier New" w:eastAsia="宋体" w:cs="Times New Roman"/>
          <w:color w:val="auto"/>
          <w:highlight w:val="none"/>
        </w:rPr>
        <w:t>@sinotruk.com</w:t>
      </w:r>
      <w:r>
        <w:rPr>
          <w:rFonts w:hint="eastAsia" w:hAnsi="Courier New" w:cs="Times New Roman"/>
          <w:color w:val="auto"/>
          <w:highlight w:val="none"/>
          <w:lang w:eastAsia="zh-CN"/>
        </w:rPr>
        <w:t>，</w:t>
      </w:r>
      <w:r>
        <w:rPr>
          <w:rFonts w:hint="eastAsia" w:hAnsi="Courier New" w:cs="Times New Roman"/>
          <w:color w:val="auto"/>
          <w:highlight w:val="none"/>
          <w:lang w:val="en-US" w:eastAsia="zh-CN"/>
        </w:rPr>
        <w:t>wangxuan1</w:t>
      </w:r>
      <w:r>
        <w:rPr>
          <w:rFonts w:hint="eastAsia" w:hAnsi="Courier New" w:eastAsia="宋体" w:cs="Times New Roman"/>
          <w:color w:val="auto"/>
          <w:highlight w:val="none"/>
        </w:rPr>
        <w:t>@sinotruk.com</w:t>
      </w:r>
    </w:p>
    <w:p w14:paraId="2A0F5084">
      <w:pPr>
        <w:widowControl/>
        <w:adjustRightInd w:val="0"/>
        <w:snapToGrid w:val="0"/>
        <w:spacing w:line="312" w:lineRule="auto"/>
        <w:ind w:firstLine="480" w:firstLineChars="200"/>
        <w:jc w:val="right"/>
        <w:rPr>
          <w:rFonts w:ascii="宋体"/>
          <w:kern w:val="0"/>
          <w:sz w:val="24"/>
          <w:szCs w:val="21"/>
          <w:u w:val="single"/>
          <w:lang w:bidi="en-US"/>
        </w:rPr>
      </w:pPr>
    </w:p>
    <w:p w14:paraId="168E0817">
      <w:pPr>
        <w:widowControl/>
        <w:adjustRightInd w:val="0"/>
        <w:snapToGrid w:val="0"/>
        <w:spacing w:line="312" w:lineRule="auto"/>
        <w:ind w:firstLine="480" w:firstLineChars="200"/>
        <w:jc w:val="right"/>
        <w:rPr>
          <w:rFonts w:hint="eastAsia"/>
          <w:sz w:val="30"/>
          <w:szCs w:val="30"/>
        </w:rPr>
      </w:pPr>
      <w:r>
        <w:rPr>
          <w:rFonts w:ascii="宋体"/>
          <w:kern w:val="0"/>
          <w:sz w:val="24"/>
          <w:szCs w:val="21"/>
          <w:u w:val="none"/>
          <w:lang w:bidi="en-US"/>
        </w:rPr>
        <w:t>202</w:t>
      </w:r>
      <w:r>
        <w:rPr>
          <w:rFonts w:hint="eastAsia" w:ascii="宋体"/>
          <w:kern w:val="0"/>
          <w:sz w:val="24"/>
          <w:szCs w:val="21"/>
          <w:u w:val="none"/>
          <w:lang w:val="en-US" w:eastAsia="zh-CN" w:bidi="en-US"/>
        </w:rPr>
        <w:t>6</w:t>
      </w:r>
      <w:r>
        <w:rPr>
          <w:rFonts w:hint="eastAsia" w:ascii="宋体"/>
          <w:kern w:val="0"/>
          <w:sz w:val="24"/>
          <w:szCs w:val="21"/>
          <w:lang w:bidi="en-US"/>
        </w:rPr>
        <w:t>年</w:t>
      </w:r>
      <w:r>
        <w:rPr>
          <w:rFonts w:hint="eastAsia" w:ascii="宋体"/>
          <w:kern w:val="0"/>
          <w:sz w:val="24"/>
          <w:szCs w:val="21"/>
          <w:lang w:val="en-US" w:eastAsia="zh-CN" w:bidi="en-US"/>
        </w:rPr>
        <w:t>4</w:t>
      </w:r>
      <w:r>
        <w:rPr>
          <w:rFonts w:hint="eastAsia" w:ascii="宋体"/>
          <w:kern w:val="0"/>
          <w:sz w:val="24"/>
          <w:szCs w:val="21"/>
          <w:lang w:bidi="en-US"/>
        </w:rPr>
        <w:t>月</w:t>
      </w:r>
      <w:r>
        <w:rPr>
          <w:rFonts w:hint="eastAsia"/>
          <w:sz w:val="30"/>
          <w:szCs w:val="30"/>
        </w:rPr>
        <w:br w:type="page"/>
      </w:r>
    </w:p>
    <w:p w14:paraId="0DEC3FBD">
      <w:pPr>
        <w:pStyle w:val="14"/>
        <w:outlineLvl w:val="2"/>
        <w:rPr>
          <w:rFonts w:hint="eastAsia" w:hAnsi="宋体" w:eastAsia="宋体" w:cs="宋体"/>
          <w:b/>
          <w:bCs/>
          <w:color w:val="000000"/>
          <w:sz w:val="24"/>
          <w:szCs w:val="24"/>
        </w:rPr>
      </w:pPr>
      <w:r>
        <w:rPr>
          <w:rFonts w:hint="eastAsia" w:hAnsi="宋体" w:eastAsia="宋体" w:cs="宋体"/>
          <w:b/>
          <w:bCs/>
          <w:color w:val="000000"/>
          <w:sz w:val="24"/>
          <w:szCs w:val="24"/>
        </w:rPr>
        <w:t>附件 SRM非生产供应商注册操作手册</w:t>
      </w:r>
    </w:p>
    <w:p w14:paraId="3B55DB0D">
      <w:pPr>
        <w:pStyle w:val="14"/>
        <w:rPr>
          <w:rFonts w:eastAsia="宋体"/>
        </w:rPr>
      </w:pPr>
    </w:p>
    <w:p w14:paraId="67C14DB3">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9"/>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0"/>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1"/>
                    <a:stretch>
                      <a:fillRect/>
                    </a:stretch>
                  </pic:blipFill>
                  <pic:spPr>
                    <a:xfrm>
                      <a:off x="0" y="0"/>
                      <a:ext cx="5760085" cy="2853375"/>
                    </a:xfrm>
                    <a:prstGeom prst="rect">
                      <a:avLst/>
                    </a:prstGeom>
                  </pic:spPr>
                </pic:pic>
              </a:graphicData>
            </a:graphic>
          </wp:inline>
        </w:drawing>
      </w:r>
    </w:p>
    <w:p w14:paraId="6954F6EA">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7B916863">
      <w:pPr>
        <w:pStyle w:val="14"/>
      </w:pPr>
    </w:p>
    <w:p w14:paraId="145EA810">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2"/>
                    <a:stretch>
                      <a:fillRect/>
                    </a:stretch>
                  </pic:blipFill>
                  <pic:spPr>
                    <a:xfrm>
                      <a:off x="0" y="0"/>
                      <a:ext cx="5760085" cy="2810122"/>
                    </a:xfrm>
                    <a:prstGeom prst="rect">
                      <a:avLst/>
                    </a:prstGeom>
                  </pic:spPr>
                </pic:pic>
              </a:graphicData>
            </a:graphic>
          </wp:inline>
        </w:drawing>
      </w:r>
    </w:p>
    <w:p w14:paraId="0E62184D">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14:paraId="644AF512">
      <w:pPr>
        <w:pStyle w:val="14"/>
      </w:pPr>
    </w:p>
    <w:p w14:paraId="2AA8AF19">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245219B7">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7CB14DD4">
      <w:pPr>
        <w:pStyle w:val="14"/>
      </w:pPr>
      <w:r>
        <w:rPr>
          <w:rFonts w:hint="eastAsia" w:hAnsi="宋体" w:eastAsia="宋体" w:cs="宋体"/>
          <w:b/>
          <w:bCs/>
          <w:color w:val="000000"/>
          <w:sz w:val="24"/>
          <w:szCs w:val="28"/>
          <w:highlight w:val="yellow"/>
        </w:rPr>
        <w:t>2.配套能力“供货类别”填“工艺设备”，业务主管部门选择“工艺研究院”。</w:t>
      </w:r>
    </w:p>
    <w:p w14:paraId="3903C1BE">
      <w:pPr>
        <w:pStyle w:val="14"/>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602C5616">
      <w:pPr>
        <w:pStyle w:val="14"/>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https://ecaitong.sinotruk.com:8012/</w:t>
      </w:r>
      <w:r>
        <w:rPr>
          <w:rStyle w:val="27"/>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0F0B4D2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A8A2FFC">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525FCBF6">
      <w:p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30DCE771">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DE63D8">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1956600"/>
                    </a:xfrm>
                    <a:prstGeom prst="rect">
                      <a:avLst/>
                    </a:prstGeom>
                  </pic:spPr>
                </pic:pic>
              </a:graphicData>
            </a:graphic>
          </wp:inline>
        </w:drawing>
      </w:r>
    </w:p>
    <w:p w14:paraId="3156304E">
      <w:pPr>
        <w:pStyle w:val="14"/>
        <w:rPr>
          <w:rFonts w:hint="eastAsia" w:hAnsi="宋体" w:eastAsia="宋体" w:cs="Times New Roman"/>
          <w:b/>
          <w:color w:val="000000"/>
          <w:sz w:val="24"/>
          <w:szCs w:val="24"/>
        </w:rPr>
      </w:pPr>
    </w:p>
    <w:p w14:paraId="15DACC85">
      <w:pPr>
        <w:pStyle w:val="14"/>
        <w:rPr>
          <w:rFonts w:hint="eastAsia" w:hAnsi="宋体" w:eastAsia="宋体" w:cs="Times New Roman"/>
          <w:b/>
          <w:color w:val="000000"/>
          <w:sz w:val="24"/>
          <w:szCs w:val="24"/>
        </w:rPr>
      </w:pPr>
    </w:p>
    <w:p w14:paraId="33F89EEB">
      <w:pPr>
        <w:pStyle w:val="14"/>
        <w:rPr>
          <w:rFonts w:hint="eastAsia" w:hAnsi="宋体" w:eastAsia="宋体" w:cs="Times New Roman"/>
          <w:b/>
          <w:color w:val="000000"/>
          <w:sz w:val="24"/>
          <w:szCs w:val="24"/>
        </w:rPr>
      </w:pPr>
    </w:p>
    <w:bookmarkEnd w:id="3"/>
    <w:bookmarkEnd w:id="4"/>
    <w:p w14:paraId="2E2A1019">
      <w:pPr>
        <w:jc w:val="both"/>
      </w:pPr>
    </w:p>
    <w:p w14:paraId="2AB6F35A">
      <w:pPr>
        <w:jc w:val="both"/>
      </w:pPr>
    </w:p>
    <w:p w14:paraId="3469E6EF">
      <w:pPr>
        <w:jc w:val="both"/>
      </w:pPr>
    </w:p>
    <w:p w14:paraId="4CEEDB04">
      <w:pPr>
        <w:jc w:val="both"/>
      </w:pPr>
    </w:p>
    <w:p w14:paraId="4F0AE55E">
      <w:pPr>
        <w:jc w:val="both"/>
      </w:pPr>
    </w:p>
    <w:p w14:paraId="5D1A7CA7">
      <w:pPr>
        <w:jc w:val="both"/>
      </w:pPr>
    </w:p>
    <w:p w14:paraId="3AC3FD08">
      <w:pPr>
        <w:jc w:val="both"/>
      </w:pPr>
    </w:p>
    <w:p w14:paraId="5A2778AD">
      <w:pPr>
        <w:jc w:val="both"/>
      </w:pPr>
    </w:p>
    <w:p w14:paraId="074619FB">
      <w:pPr>
        <w:jc w:val="both"/>
      </w:pPr>
    </w:p>
    <w:p w14:paraId="23D512E0">
      <w:pPr>
        <w:jc w:val="both"/>
      </w:pPr>
    </w:p>
    <w:p w14:paraId="25F5E844">
      <w:pPr>
        <w:jc w:val="both"/>
      </w:pPr>
    </w:p>
    <w:p w14:paraId="1AF1E6EC">
      <w:pPr>
        <w:jc w:val="both"/>
        <w:rPr>
          <w:rFonts w:hint="eastAsia" w:ascii="宋体" w:hAnsi="宋体" w:eastAsia="宋体" w:cs="宋体"/>
          <w:b/>
          <w:bCs/>
          <w:color w:val="000000"/>
          <w:kern w:val="2"/>
          <w:sz w:val="24"/>
          <w:szCs w:val="24"/>
          <w:lang w:val="en-US" w:eastAsia="zh-CN" w:bidi="ar-SA"/>
        </w:rPr>
      </w:pPr>
    </w:p>
    <w:p w14:paraId="080D1E62">
      <w:pPr>
        <w:jc w:val="both"/>
        <w:rPr>
          <w:rFonts w:hint="default" w:ascii="宋体" w:hAnsi="宋体" w:cs="宋体"/>
          <w:b/>
          <w:bCs/>
          <w:color w:val="000000"/>
          <w:kern w:val="2"/>
          <w:sz w:val="24"/>
          <w:szCs w:val="24"/>
          <w:lang w:val="en-US" w:eastAsia="zh-CN" w:bidi="ar-SA"/>
        </w:rPr>
      </w:pPr>
    </w:p>
    <w:sectPr>
      <w:headerReference r:id="rId5" w:type="default"/>
      <w:footerReference r:id="rId6"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845190">
    <w:pPr>
      <w:pStyle w:val="1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BA58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76BA58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B4551">
    <w:pPr>
      <w:pStyle w:val="1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5416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354165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7A4C9">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0B1709">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B0B1709">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E6569">
    <w:pPr>
      <w:pStyle w:val="1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7A025E"/>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9F7154"/>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4E4597"/>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16772D"/>
    <w:rsid w:val="06344057"/>
    <w:rsid w:val="063876A4"/>
    <w:rsid w:val="063E20E3"/>
    <w:rsid w:val="0644571C"/>
    <w:rsid w:val="064918B1"/>
    <w:rsid w:val="066A1827"/>
    <w:rsid w:val="066E2587"/>
    <w:rsid w:val="066E57BB"/>
    <w:rsid w:val="06764670"/>
    <w:rsid w:val="06781D56"/>
    <w:rsid w:val="067C2A95"/>
    <w:rsid w:val="068154EF"/>
    <w:rsid w:val="06876421"/>
    <w:rsid w:val="06896151"/>
    <w:rsid w:val="069A266D"/>
    <w:rsid w:val="06AA51CE"/>
    <w:rsid w:val="06AA6409"/>
    <w:rsid w:val="06B064D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013E"/>
    <w:rsid w:val="08FA6E92"/>
    <w:rsid w:val="09063BDE"/>
    <w:rsid w:val="090D5953"/>
    <w:rsid w:val="09150170"/>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85327"/>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7A0110"/>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56C0C"/>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12DA8"/>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33087"/>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55BF8"/>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86BBA"/>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17154"/>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24058"/>
    <w:rsid w:val="2FFE4C0B"/>
    <w:rsid w:val="2FFE4E3E"/>
    <w:rsid w:val="30032221"/>
    <w:rsid w:val="300849DC"/>
    <w:rsid w:val="30130062"/>
    <w:rsid w:val="30224D9D"/>
    <w:rsid w:val="302A0B85"/>
    <w:rsid w:val="3045283A"/>
    <w:rsid w:val="3058422F"/>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84358E"/>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89504A"/>
    <w:rsid w:val="45921640"/>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BF0F2D"/>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4E4A2C"/>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773940"/>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B63FF"/>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00EB0"/>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62CD4"/>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376EB"/>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3B76A7"/>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B4634A"/>
    <w:rsid w:val="7CC92A6A"/>
    <w:rsid w:val="7CE54755"/>
    <w:rsid w:val="7CE64029"/>
    <w:rsid w:val="7CEB418B"/>
    <w:rsid w:val="7D0F0FF8"/>
    <w:rsid w:val="7D181F1D"/>
    <w:rsid w:val="7D1943FF"/>
    <w:rsid w:val="7D1F674A"/>
    <w:rsid w:val="7D223B63"/>
    <w:rsid w:val="7D405E05"/>
    <w:rsid w:val="7D4D0C98"/>
    <w:rsid w:val="7D5B4A17"/>
    <w:rsid w:val="7D627B54"/>
    <w:rsid w:val="7D7F0706"/>
    <w:rsid w:val="7D86290A"/>
    <w:rsid w:val="7D8B0944"/>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9"/>
    <w:pPr>
      <w:keepNext/>
      <w:spacing w:before="240" w:after="60"/>
      <w:outlineLvl w:val="1"/>
    </w:pPr>
    <w:rPr>
      <w:rFonts w:ascii="Cambria" w:hAnsi="Cambria"/>
      <w:b/>
      <w:bCs/>
      <w:i/>
      <w:iCs/>
      <w:sz w:val="28"/>
      <w:szCs w:val="28"/>
    </w:rPr>
  </w:style>
  <w:style w:type="paragraph" w:styleId="4">
    <w:name w:val="heading 3"/>
    <w:basedOn w:val="1"/>
    <w:next w:val="1"/>
    <w:autoRedefine/>
    <w:qFormat/>
    <w:uiPriority w:val="9"/>
    <w:pPr>
      <w:keepNext/>
      <w:spacing w:before="240" w:after="60"/>
      <w:outlineLvl w:val="2"/>
    </w:pPr>
    <w:rPr>
      <w:rFonts w:ascii="Cambria" w:hAnsi="Cambria"/>
      <w:b/>
      <w:bCs/>
      <w:sz w:val="26"/>
      <w:szCs w:val="26"/>
    </w:rPr>
  </w:style>
  <w:style w:type="paragraph" w:styleId="5">
    <w:name w:val="heading 4"/>
    <w:basedOn w:val="1"/>
    <w:next w:val="1"/>
    <w:autoRedefine/>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autoRedefine/>
    <w:qFormat/>
    <w:uiPriority w:val="9"/>
    <w:pPr>
      <w:spacing w:before="240" w:after="60"/>
      <w:outlineLvl w:val="4"/>
    </w:pPr>
    <w:rPr>
      <w:b/>
      <w:bCs/>
      <w:i/>
      <w:iCs/>
      <w:sz w:val="26"/>
      <w:szCs w:val="26"/>
    </w:rPr>
  </w:style>
  <w:style w:type="character" w:default="1" w:styleId="26">
    <w:name w:val="Default Paragraph Font"/>
    <w:autoRedefine/>
    <w:semiHidden/>
    <w:unhideWhenUsed/>
    <w:qFormat/>
    <w:uiPriority w:val="1"/>
  </w:style>
  <w:style w:type="table" w:default="1" w:styleId="24">
    <w:name w:val="Normal Table"/>
    <w:autoRedefine/>
    <w:semiHidden/>
    <w:unhideWhenUsed/>
    <w:qFormat/>
    <w:uiPriority w:val="99"/>
    <w:tblPr>
      <w:tblCellMar>
        <w:top w:w="0" w:type="dxa"/>
        <w:left w:w="108" w:type="dxa"/>
        <w:bottom w:w="0" w:type="dxa"/>
        <w:right w:w="108" w:type="dxa"/>
      </w:tblCellMar>
    </w:tblPr>
  </w:style>
  <w:style w:type="paragraph" w:styleId="7">
    <w:name w:val="Normal Indent"/>
    <w:basedOn w:val="1"/>
    <w:autoRedefine/>
    <w:qFormat/>
    <w:uiPriority w:val="0"/>
    <w:pPr>
      <w:adjustRightInd w:val="0"/>
      <w:spacing w:line="360" w:lineRule="atLeast"/>
      <w:ind w:firstLine="482"/>
      <w:textAlignment w:val="baseline"/>
    </w:pPr>
    <w:rPr>
      <w:kern w:val="0"/>
      <w:sz w:val="24"/>
      <w:szCs w:val="20"/>
    </w:rPr>
  </w:style>
  <w:style w:type="paragraph" w:styleId="8">
    <w:name w:val="Document Map"/>
    <w:basedOn w:val="1"/>
    <w:link w:val="34"/>
    <w:autoRedefine/>
    <w:semiHidden/>
    <w:unhideWhenUsed/>
    <w:qFormat/>
    <w:uiPriority w:val="99"/>
    <w:rPr>
      <w:rFonts w:ascii="宋体"/>
      <w:sz w:val="18"/>
      <w:szCs w:val="18"/>
    </w:rPr>
  </w:style>
  <w:style w:type="paragraph" w:styleId="9">
    <w:name w:val="annotation text"/>
    <w:basedOn w:val="1"/>
    <w:link w:val="31"/>
    <w:autoRedefine/>
    <w:semiHidden/>
    <w:qFormat/>
    <w:uiPriority w:val="0"/>
    <w:pPr>
      <w:jc w:val="left"/>
    </w:pPr>
    <w:rPr>
      <w:rFonts w:asciiTheme="minorHAnsi" w:hAnsiTheme="minorHAnsi" w:cstheme="minorBidi"/>
    </w:rPr>
  </w:style>
  <w:style w:type="paragraph" w:styleId="10">
    <w:name w:val="Body Text"/>
    <w:basedOn w:val="1"/>
    <w:link w:val="59"/>
    <w:autoRedefine/>
    <w:qFormat/>
    <w:uiPriority w:val="0"/>
    <w:rPr>
      <w:rFonts w:eastAsia="楷体_GB2312"/>
      <w:sz w:val="28"/>
      <w:szCs w:val="20"/>
    </w:rPr>
  </w:style>
  <w:style w:type="paragraph" w:styleId="11">
    <w:name w:val="Body Text Indent"/>
    <w:basedOn w:val="1"/>
    <w:next w:val="1"/>
    <w:link w:val="57"/>
    <w:autoRedefine/>
    <w:qFormat/>
    <w:uiPriority w:val="0"/>
    <w:pPr>
      <w:spacing w:after="120"/>
      <w:ind w:left="420" w:leftChars="200"/>
    </w:pPr>
  </w:style>
  <w:style w:type="paragraph" w:styleId="12">
    <w:name w:val="index 4"/>
    <w:basedOn w:val="1"/>
    <w:next w:val="1"/>
    <w:autoRedefine/>
    <w:qFormat/>
    <w:uiPriority w:val="0"/>
    <w:pPr>
      <w:ind w:left="600" w:leftChars="600"/>
    </w:pPr>
  </w:style>
  <w:style w:type="paragraph" w:styleId="13">
    <w:name w:val="toc 3"/>
    <w:basedOn w:val="1"/>
    <w:next w:val="1"/>
    <w:autoRedefine/>
    <w:qFormat/>
    <w:uiPriority w:val="39"/>
    <w:pPr>
      <w:ind w:left="840" w:leftChars="400"/>
    </w:pPr>
  </w:style>
  <w:style w:type="paragraph" w:styleId="14">
    <w:name w:val="Plain Text"/>
    <w:basedOn w:val="1"/>
    <w:next w:val="1"/>
    <w:qFormat/>
    <w:uiPriority w:val="0"/>
    <w:rPr>
      <w:rFonts w:ascii="宋体"/>
      <w:szCs w:val="20"/>
    </w:rPr>
  </w:style>
  <w:style w:type="paragraph" w:styleId="15">
    <w:name w:val="Balloon Text"/>
    <w:basedOn w:val="1"/>
    <w:link w:val="33"/>
    <w:autoRedefine/>
    <w:semiHidden/>
    <w:unhideWhenUsed/>
    <w:qFormat/>
    <w:uiPriority w:val="99"/>
    <w:rPr>
      <w:sz w:val="18"/>
      <w:szCs w:val="18"/>
    </w:rPr>
  </w:style>
  <w:style w:type="paragraph" w:styleId="16">
    <w:name w:val="footer"/>
    <w:basedOn w:val="1"/>
    <w:link w:val="36"/>
    <w:autoRedefine/>
    <w:unhideWhenUsed/>
    <w:qFormat/>
    <w:uiPriority w:val="99"/>
    <w:pPr>
      <w:tabs>
        <w:tab w:val="center" w:pos="4153"/>
        <w:tab w:val="right" w:pos="8306"/>
      </w:tabs>
      <w:snapToGrid w:val="0"/>
      <w:jc w:val="left"/>
    </w:pPr>
    <w:rPr>
      <w:sz w:val="18"/>
      <w:szCs w:val="18"/>
    </w:rPr>
  </w:style>
  <w:style w:type="paragraph" w:styleId="17">
    <w:name w:val="header"/>
    <w:basedOn w:val="1"/>
    <w:link w:val="3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autoRedefine/>
    <w:qFormat/>
    <w:uiPriority w:val="39"/>
    <w:pPr>
      <w:tabs>
        <w:tab w:val="right" w:leader="dot" w:pos="9629"/>
      </w:tabs>
    </w:pPr>
    <w:rPr>
      <w:b/>
    </w:rPr>
  </w:style>
  <w:style w:type="paragraph" w:styleId="19">
    <w:name w:val="toc 2"/>
    <w:basedOn w:val="1"/>
    <w:next w:val="1"/>
    <w:autoRedefine/>
    <w:qFormat/>
    <w:uiPriority w:val="39"/>
    <w:pPr>
      <w:tabs>
        <w:tab w:val="right" w:leader="dot" w:pos="9629"/>
      </w:tabs>
      <w:ind w:left="480" w:leftChars="200"/>
    </w:pPr>
    <w:rPr>
      <w:b/>
    </w:rPr>
  </w:style>
  <w:style w:type="paragraph" w:styleId="20">
    <w:name w:val="Normal (Web)"/>
    <w:basedOn w:val="1"/>
    <w:autoRedefine/>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autoRedefine/>
    <w:semiHidden/>
    <w:unhideWhenUsed/>
    <w:qFormat/>
    <w:uiPriority w:val="99"/>
    <w:rPr>
      <w:rFonts w:ascii="Times New Roman" w:hAnsi="Times New Roman" w:cs="Times New Roman"/>
      <w:b/>
      <w:bCs/>
    </w:rPr>
  </w:style>
  <w:style w:type="paragraph" w:styleId="22">
    <w:name w:val="Body Text First Indent"/>
    <w:basedOn w:val="10"/>
    <w:link w:val="54"/>
    <w:autoRedefine/>
    <w:semiHidden/>
    <w:unhideWhenUsed/>
    <w:qFormat/>
    <w:uiPriority w:val="99"/>
    <w:pPr>
      <w:ind w:firstLine="420" w:firstLineChars="100"/>
    </w:pPr>
  </w:style>
  <w:style w:type="paragraph" w:styleId="23">
    <w:name w:val="Body Text First Indent 2"/>
    <w:basedOn w:val="11"/>
    <w:next w:val="19"/>
    <w:link w:val="58"/>
    <w:autoRedefine/>
    <w:qFormat/>
    <w:uiPriority w:val="0"/>
    <w:pPr>
      <w:spacing w:line="276" w:lineRule="auto"/>
      <w:ind w:left="200" w:firstLine="200" w:firstLineChars="200"/>
      <w:jc w:val="left"/>
    </w:pPr>
  </w:style>
  <w:style w:type="table" w:styleId="25">
    <w:name w:val="Table Grid"/>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autoRedefine/>
    <w:qFormat/>
    <w:uiPriority w:val="99"/>
    <w:rPr>
      <w:rFonts w:eastAsia="宋体"/>
      <w:color w:val="0000FF"/>
      <w:sz w:val="24"/>
      <w:u w:val="single"/>
    </w:rPr>
  </w:style>
  <w:style w:type="character" w:styleId="28">
    <w:name w:val="annotation reference"/>
    <w:basedOn w:val="26"/>
    <w:autoRedefine/>
    <w:qFormat/>
    <w:uiPriority w:val="0"/>
    <w:rPr>
      <w:sz w:val="21"/>
      <w:szCs w:val="21"/>
    </w:rPr>
  </w:style>
  <w:style w:type="paragraph" w:customStyle="1" w:styleId="29">
    <w:name w:val="列出段落1"/>
    <w:basedOn w:val="1"/>
    <w:autoRedefine/>
    <w:unhideWhenUsed/>
    <w:qFormat/>
    <w:uiPriority w:val="34"/>
    <w:pPr>
      <w:ind w:firstLine="420" w:firstLineChars="200"/>
    </w:pPr>
    <w:rPr>
      <w:rFonts w:hint="eastAsia"/>
    </w:rPr>
  </w:style>
  <w:style w:type="character" w:customStyle="1" w:styleId="30">
    <w:name w:val="标题 1 字符"/>
    <w:basedOn w:val="26"/>
    <w:link w:val="2"/>
    <w:autoRedefine/>
    <w:qFormat/>
    <w:uiPriority w:val="0"/>
    <w:rPr>
      <w:rFonts w:ascii="Times New Roman" w:hAnsi="Times New Roman" w:eastAsia="宋体" w:cs="Times New Roman"/>
      <w:b/>
      <w:bCs/>
      <w:kern w:val="44"/>
      <w:sz w:val="44"/>
      <w:szCs w:val="44"/>
    </w:rPr>
  </w:style>
  <w:style w:type="character" w:customStyle="1" w:styleId="31">
    <w:name w:val="批注文字 字符"/>
    <w:link w:val="9"/>
    <w:autoRedefine/>
    <w:semiHidden/>
    <w:qFormat/>
    <w:uiPriority w:val="0"/>
    <w:rPr>
      <w:rFonts w:eastAsia="宋体"/>
      <w:szCs w:val="24"/>
    </w:rPr>
  </w:style>
  <w:style w:type="character" w:customStyle="1" w:styleId="32">
    <w:name w:val="批注文字 Char1"/>
    <w:basedOn w:val="26"/>
    <w:autoRedefine/>
    <w:semiHidden/>
    <w:qFormat/>
    <w:uiPriority w:val="99"/>
    <w:rPr>
      <w:rFonts w:ascii="Times New Roman" w:hAnsi="Times New Roman" w:eastAsia="宋体" w:cs="Times New Roman"/>
      <w:szCs w:val="24"/>
    </w:rPr>
  </w:style>
  <w:style w:type="character" w:customStyle="1" w:styleId="33">
    <w:name w:val="批注框文本 字符"/>
    <w:basedOn w:val="26"/>
    <w:link w:val="15"/>
    <w:autoRedefine/>
    <w:semiHidden/>
    <w:qFormat/>
    <w:uiPriority w:val="99"/>
    <w:rPr>
      <w:rFonts w:ascii="Times New Roman" w:hAnsi="Times New Roman" w:eastAsia="宋体" w:cs="Times New Roman"/>
      <w:sz w:val="18"/>
      <w:szCs w:val="18"/>
    </w:rPr>
  </w:style>
  <w:style w:type="character" w:customStyle="1" w:styleId="34">
    <w:name w:val="文档结构图 字符"/>
    <w:basedOn w:val="26"/>
    <w:link w:val="8"/>
    <w:autoRedefine/>
    <w:semiHidden/>
    <w:qFormat/>
    <w:uiPriority w:val="99"/>
    <w:rPr>
      <w:rFonts w:ascii="宋体" w:hAnsi="Times New Roman" w:eastAsia="宋体" w:cs="Times New Roman"/>
      <w:sz w:val="18"/>
      <w:szCs w:val="18"/>
    </w:rPr>
  </w:style>
  <w:style w:type="character" w:customStyle="1" w:styleId="35">
    <w:name w:val="页眉 字符"/>
    <w:basedOn w:val="26"/>
    <w:link w:val="17"/>
    <w:autoRedefine/>
    <w:qFormat/>
    <w:uiPriority w:val="99"/>
    <w:rPr>
      <w:rFonts w:ascii="Times New Roman" w:hAnsi="Times New Roman" w:eastAsia="宋体" w:cs="Times New Roman"/>
      <w:sz w:val="18"/>
      <w:szCs w:val="18"/>
    </w:rPr>
  </w:style>
  <w:style w:type="character" w:customStyle="1" w:styleId="36">
    <w:name w:val="页脚 字符"/>
    <w:basedOn w:val="26"/>
    <w:link w:val="16"/>
    <w:autoRedefine/>
    <w:qFormat/>
    <w:uiPriority w:val="99"/>
    <w:rPr>
      <w:rFonts w:ascii="Times New Roman" w:hAnsi="Times New Roman" w:eastAsia="宋体" w:cs="Times New Roman"/>
      <w:sz w:val="18"/>
      <w:szCs w:val="18"/>
    </w:rPr>
  </w:style>
  <w:style w:type="character" w:customStyle="1" w:styleId="37">
    <w:name w:val="NormalCharacter"/>
    <w:basedOn w:val="26"/>
    <w:autoRedefine/>
    <w:qFormat/>
    <w:uiPriority w:val="0"/>
  </w:style>
  <w:style w:type="character" w:customStyle="1" w:styleId="38">
    <w:name w:val="批注主题 字符"/>
    <w:basedOn w:val="31"/>
    <w:link w:val="21"/>
    <w:autoRedefine/>
    <w:semiHidden/>
    <w:qFormat/>
    <w:uiPriority w:val="99"/>
    <w:rPr>
      <w:rFonts w:eastAsia="宋体"/>
      <w:b/>
      <w:bCs/>
      <w:kern w:val="2"/>
      <w:sz w:val="21"/>
      <w:szCs w:val="24"/>
    </w:rPr>
  </w:style>
  <w:style w:type="paragraph" w:customStyle="1" w:styleId="39">
    <w:name w:val="BodyText3"/>
    <w:basedOn w:val="1"/>
    <w:autoRedefine/>
    <w:qFormat/>
    <w:uiPriority w:val="0"/>
    <w:pPr>
      <w:spacing w:after="120"/>
    </w:pPr>
    <w:rPr>
      <w:sz w:val="16"/>
      <w:szCs w:val="16"/>
    </w:rPr>
  </w:style>
  <w:style w:type="paragraph" w:customStyle="1" w:styleId="40">
    <w:name w:val="UserStyle_92"/>
    <w:basedOn w:val="1"/>
    <w:autoRedefine/>
    <w:qFormat/>
    <w:uiPriority w:val="0"/>
    <w:rPr>
      <w:szCs w:val="21"/>
    </w:rPr>
  </w:style>
  <w:style w:type="paragraph" w:customStyle="1" w:styleId="41">
    <w:name w:val="UserStyle_95"/>
    <w:basedOn w:val="42"/>
    <w:autoRedefine/>
    <w:qFormat/>
    <w:uiPriority w:val="0"/>
  </w:style>
  <w:style w:type="paragraph" w:customStyle="1" w:styleId="42">
    <w:name w:val="Heading4"/>
    <w:basedOn w:val="1"/>
    <w:next w:val="1"/>
    <w:autoRedefine/>
    <w:qFormat/>
    <w:uiPriority w:val="0"/>
    <w:pPr>
      <w:keepNext/>
      <w:spacing w:before="240" w:after="60"/>
    </w:pPr>
    <w:rPr>
      <w:b/>
      <w:bCs/>
      <w:sz w:val="28"/>
      <w:szCs w:val="28"/>
    </w:rPr>
  </w:style>
  <w:style w:type="paragraph" w:customStyle="1" w:styleId="43">
    <w:name w:val="Heading2"/>
    <w:basedOn w:val="1"/>
    <w:next w:val="1"/>
    <w:autoRedefine/>
    <w:qFormat/>
    <w:uiPriority w:val="0"/>
    <w:pPr>
      <w:keepNext/>
      <w:spacing w:before="240" w:after="60"/>
    </w:pPr>
    <w:rPr>
      <w:rFonts w:ascii="Cambria" w:hAnsi="Cambria"/>
      <w:b/>
      <w:bCs/>
      <w:i/>
      <w:iCs/>
      <w:sz w:val="28"/>
      <w:szCs w:val="28"/>
    </w:rPr>
  </w:style>
  <w:style w:type="paragraph" w:customStyle="1" w:styleId="44">
    <w:name w:val="BodyTextIndent"/>
    <w:basedOn w:val="1"/>
    <w:autoRedefine/>
    <w:qFormat/>
    <w:uiPriority w:val="0"/>
    <w:pPr>
      <w:spacing w:after="120"/>
      <w:ind w:left="420" w:leftChars="200"/>
    </w:pPr>
    <w:rPr>
      <w:sz w:val="20"/>
    </w:rPr>
  </w:style>
  <w:style w:type="paragraph" w:customStyle="1" w:styleId="45">
    <w:name w:val="Heading3"/>
    <w:basedOn w:val="1"/>
    <w:next w:val="1"/>
    <w:autoRedefine/>
    <w:qFormat/>
    <w:uiPriority w:val="0"/>
    <w:pPr>
      <w:keepNext/>
      <w:spacing w:before="240" w:after="60"/>
    </w:pPr>
    <w:rPr>
      <w:rFonts w:ascii="Cambria" w:hAnsi="Cambria"/>
      <w:b/>
      <w:bCs/>
      <w:sz w:val="26"/>
      <w:szCs w:val="26"/>
    </w:rPr>
  </w:style>
  <w:style w:type="paragraph" w:styleId="46">
    <w:name w:val="List Paragraph"/>
    <w:basedOn w:val="1"/>
    <w:autoRedefine/>
    <w:unhideWhenUsed/>
    <w:qFormat/>
    <w:uiPriority w:val="99"/>
    <w:pPr>
      <w:ind w:firstLine="420" w:firstLineChars="200"/>
    </w:pPr>
  </w:style>
  <w:style w:type="character" w:customStyle="1" w:styleId="47">
    <w:name w:val="font101"/>
    <w:basedOn w:val="26"/>
    <w:autoRedefine/>
    <w:qFormat/>
    <w:uiPriority w:val="0"/>
    <w:rPr>
      <w:rFonts w:hint="eastAsia" w:ascii="仿宋" w:hAnsi="仿宋" w:eastAsia="仿宋" w:cs="仿宋"/>
      <w:color w:val="000000"/>
      <w:sz w:val="28"/>
      <w:szCs w:val="28"/>
      <w:u w:val="none"/>
    </w:rPr>
  </w:style>
  <w:style w:type="paragraph" w:customStyle="1" w:styleId="48">
    <w:name w:val="标题4"/>
    <w:basedOn w:val="5"/>
    <w:autoRedefine/>
    <w:qFormat/>
    <w:uiPriority w:val="0"/>
  </w:style>
  <w:style w:type="character" w:customStyle="1" w:styleId="49">
    <w:name w:val="font81"/>
    <w:basedOn w:val="26"/>
    <w:autoRedefine/>
    <w:qFormat/>
    <w:uiPriority w:val="0"/>
    <w:rPr>
      <w:rFonts w:hint="eastAsia" w:ascii="仿宋" w:hAnsi="仿宋" w:eastAsia="仿宋" w:cs="仿宋"/>
      <w:color w:val="000000"/>
      <w:sz w:val="24"/>
      <w:szCs w:val="24"/>
      <w:u w:val="none"/>
    </w:rPr>
  </w:style>
  <w:style w:type="character" w:customStyle="1" w:styleId="50">
    <w:name w:val="font11"/>
    <w:basedOn w:val="26"/>
    <w:autoRedefine/>
    <w:qFormat/>
    <w:uiPriority w:val="0"/>
    <w:rPr>
      <w:rFonts w:hint="eastAsia" w:ascii="仿宋" w:hAnsi="仿宋" w:eastAsia="仿宋" w:cs="仿宋"/>
      <w:color w:val="000000"/>
      <w:sz w:val="24"/>
      <w:szCs w:val="24"/>
      <w:u w:val="none"/>
    </w:rPr>
  </w:style>
  <w:style w:type="character" w:customStyle="1" w:styleId="51">
    <w:name w:val="font01"/>
    <w:basedOn w:val="26"/>
    <w:autoRedefine/>
    <w:qFormat/>
    <w:uiPriority w:val="0"/>
    <w:rPr>
      <w:rFonts w:ascii="Arial" w:hAnsi="Arial" w:cs="Arial"/>
      <w:color w:val="000000"/>
      <w:sz w:val="24"/>
      <w:szCs w:val="24"/>
      <w:u w:val="none"/>
    </w:rPr>
  </w:style>
  <w:style w:type="character" w:customStyle="1" w:styleId="52">
    <w:name w:val="font31"/>
    <w:basedOn w:val="26"/>
    <w:autoRedefine/>
    <w:qFormat/>
    <w:uiPriority w:val="0"/>
    <w:rPr>
      <w:rFonts w:hint="eastAsia" w:ascii="仿宋" w:hAnsi="仿宋" w:eastAsia="仿宋" w:cs="仿宋"/>
      <w:color w:val="000000"/>
      <w:sz w:val="28"/>
      <w:szCs w:val="28"/>
      <w:u w:val="none"/>
    </w:rPr>
  </w:style>
  <w:style w:type="character" w:customStyle="1" w:styleId="53">
    <w:name w:val="正文文本 字符"/>
    <w:basedOn w:val="26"/>
    <w:autoRedefine/>
    <w:qFormat/>
    <w:uiPriority w:val="0"/>
    <w:rPr>
      <w:kern w:val="2"/>
      <w:sz w:val="21"/>
      <w:szCs w:val="24"/>
    </w:rPr>
  </w:style>
  <w:style w:type="character" w:customStyle="1" w:styleId="54">
    <w:name w:val="正文首行缩进 字符"/>
    <w:link w:val="22"/>
    <w:autoRedefine/>
    <w:qFormat/>
    <w:uiPriority w:val="0"/>
    <w:rPr>
      <w:sz w:val="21"/>
      <w:szCs w:val="21"/>
    </w:rPr>
  </w:style>
  <w:style w:type="character" w:customStyle="1" w:styleId="55">
    <w:name w:val="正文文本缩进 字符"/>
    <w:basedOn w:val="26"/>
    <w:autoRedefine/>
    <w:qFormat/>
    <w:uiPriority w:val="0"/>
    <w:rPr>
      <w:sz w:val="21"/>
      <w:szCs w:val="21"/>
    </w:rPr>
  </w:style>
  <w:style w:type="character" w:customStyle="1" w:styleId="56">
    <w:name w:val="正文首行缩进 2 字符"/>
    <w:basedOn w:val="55"/>
    <w:autoRedefine/>
    <w:qFormat/>
    <w:uiPriority w:val="0"/>
    <w:rPr>
      <w:sz w:val="21"/>
      <w:szCs w:val="21"/>
    </w:rPr>
  </w:style>
  <w:style w:type="character" w:customStyle="1" w:styleId="57">
    <w:name w:val="正文文本缩进 字符1"/>
    <w:basedOn w:val="26"/>
    <w:link w:val="11"/>
    <w:autoRedefine/>
    <w:qFormat/>
    <w:uiPriority w:val="0"/>
    <w:rPr>
      <w:kern w:val="2"/>
      <w:sz w:val="21"/>
      <w:szCs w:val="21"/>
    </w:rPr>
  </w:style>
  <w:style w:type="character" w:customStyle="1" w:styleId="58">
    <w:name w:val="正文首行缩进 2 字符1"/>
    <w:basedOn w:val="57"/>
    <w:link w:val="23"/>
    <w:autoRedefine/>
    <w:qFormat/>
    <w:uiPriority w:val="0"/>
    <w:rPr>
      <w:kern w:val="2"/>
      <w:sz w:val="21"/>
      <w:szCs w:val="21"/>
    </w:rPr>
  </w:style>
  <w:style w:type="character" w:customStyle="1" w:styleId="59">
    <w:name w:val="正文文本 字符1"/>
    <w:basedOn w:val="26"/>
    <w:link w:val="10"/>
    <w:autoRedefine/>
    <w:qFormat/>
    <w:uiPriority w:val="0"/>
    <w:rPr>
      <w:sz w:val="24"/>
      <w:szCs w:val="24"/>
      <w:lang w:eastAsia="en-US" w:bidi="en-US"/>
    </w:rPr>
  </w:style>
  <w:style w:type="paragraph" w:customStyle="1" w:styleId="60">
    <w:name w:val="Style1"/>
    <w:autoRedefine/>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2"/>
    <w:next w:val="1"/>
    <w:autoRedefine/>
    <w:qFormat/>
    <w:uiPriority w:val="0"/>
    <w:pPr>
      <w:outlineLvl w:val="9"/>
    </w:pPr>
  </w:style>
  <w:style w:type="paragraph" w:customStyle="1" w:styleId="62">
    <w:name w:val="TOC 标题1"/>
    <w:basedOn w:val="2"/>
    <w:next w:val="1"/>
    <w:autoRedefine/>
    <w:qFormat/>
    <w:uiPriority w:val="0"/>
    <w:pPr>
      <w:outlineLvl w:val="9"/>
    </w:pPr>
  </w:style>
  <w:style w:type="paragraph" w:customStyle="1" w:styleId="63">
    <w:name w:val="Blockquote"/>
    <w:basedOn w:val="1"/>
    <w:autoRedefine/>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autoRedefine/>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autoRedefine/>
    <w:semiHidden/>
    <w:qFormat/>
    <w:uiPriority w:val="0"/>
    <w:rPr>
      <w:rFonts w:ascii="宋体" w:hAnsi="宋体" w:cs="宋体"/>
      <w:sz w:val="25"/>
      <w:szCs w:val="25"/>
      <w:lang w:eastAsia="en-US"/>
    </w:rPr>
  </w:style>
  <w:style w:type="table" w:customStyle="1" w:styleId="66">
    <w:name w:val="Table Normal"/>
    <w:autoRedefine/>
    <w:semiHidden/>
    <w:unhideWhenUsed/>
    <w:qFormat/>
    <w:uiPriority w:val="0"/>
    <w:tblPr>
      <w:tblCellMar>
        <w:top w:w="0" w:type="dxa"/>
        <w:left w:w="0" w:type="dxa"/>
        <w:bottom w:w="0" w:type="dxa"/>
        <w:right w:w="0" w:type="dxa"/>
      </w:tblCellMar>
    </w:tblPr>
  </w:style>
  <w:style w:type="paragraph" w:customStyle="1" w:styleId="67">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2.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2D20-257A-4053-A9A8-4CD72FB80E52}">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10</Pages>
  <Words>1957</Words>
  <Characters>2179</Characters>
  <Lines>462</Lines>
  <Paragraphs>130</Paragraphs>
  <TotalTime>111</TotalTime>
  <ScaleCrop>false</ScaleCrop>
  <LinksUpToDate>false</LinksUpToDate>
  <CharactersWithSpaces>2204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王瑄</cp:lastModifiedBy>
  <cp:lastPrinted>2025-02-04T09:52:00Z</cp:lastPrinted>
  <dcterms:modified xsi:type="dcterms:W3CDTF">2026-04-01T08:47:35Z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7066CA844403441888074F372D691928_13</vt:lpwstr>
  </property>
  <property fmtid="{D5CDD505-2E9C-101B-9397-08002B2CF9AE}" pid="4" name="KSOTemplateDocerSaveRecord">
    <vt:lpwstr>eyJoZGlkIjoiZWQxZjNmOWI4MjYxMjE3YWYxMWY4NzIzOWZkNTY1ZGEiLCJ1c2VySWQiOiIxNzY1MTE0NzEzIn0=</vt:lpwstr>
  </property>
</Properties>
</file>