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kinsoku/>
        <w:wordWrap/>
        <w:overflowPunct/>
        <w:topLinePunct w:val="0"/>
        <w:autoSpaceDE/>
        <w:autoSpaceDN/>
        <w:bidi w:val="0"/>
        <w:adjustRightInd w:val="0"/>
        <w:snapToGrid w:val="0"/>
        <w:spacing w:before="75" w:beforeAutospacing="0" w:after="75" w:afterAutospacing="0" w:line="300" w:lineRule="auto"/>
        <w:jc w:val="center"/>
        <w:textAlignment w:val="auto"/>
        <w:rPr>
          <w:rFonts w:hint="eastAsia" w:ascii="方正小标宋简体" w:hAnsi="方正小标宋简体" w:eastAsia="方正小标宋简体" w:cs="方正小标宋简体"/>
          <w:b/>
          <w:color w:val="auto"/>
          <w:sz w:val="36"/>
          <w:szCs w:val="36"/>
          <w:lang w:val="en-US" w:eastAsia="zh-CN"/>
        </w:rPr>
      </w:pPr>
      <w:bookmarkStart w:id="0" w:name="_GoBack"/>
      <w:bookmarkEnd w:id="0"/>
      <w:r>
        <w:rPr>
          <w:rFonts w:hint="eastAsia" w:ascii="方正小标宋简体" w:hAnsi="方正小标宋简体" w:eastAsia="方正小标宋简体" w:cs="方正小标宋简体"/>
          <w:b/>
          <w:color w:val="auto"/>
          <w:sz w:val="36"/>
          <w:szCs w:val="36"/>
          <w:lang w:eastAsia="zh-CN"/>
        </w:rPr>
        <w:t>山东通盛汽车科技有限公司</w:t>
      </w:r>
    </w:p>
    <w:p>
      <w:pPr>
        <w:pStyle w:val="5"/>
        <w:keepNext w:val="0"/>
        <w:keepLines w:val="0"/>
        <w:pageBreakBefore w:val="0"/>
        <w:widowControl/>
        <w:kinsoku/>
        <w:wordWrap/>
        <w:overflowPunct/>
        <w:topLinePunct w:val="0"/>
        <w:autoSpaceDE/>
        <w:autoSpaceDN/>
        <w:bidi w:val="0"/>
        <w:adjustRightInd w:val="0"/>
        <w:snapToGrid w:val="0"/>
        <w:spacing w:before="75" w:beforeAutospacing="0" w:after="200" w:afterAutospacing="0" w:line="300" w:lineRule="auto"/>
        <w:jc w:val="center"/>
        <w:textAlignment w:val="auto"/>
        <w:rPr>
          <w:rStyle w:val="9"/>
          <w:rFonts w:hint="eastAsia" w:ascii="方正小标宋简体" w:hAnsi="方正小标宋简体" w:eastAsia="方正小标宋简体" w:cs="方正小标宋简体"/>
          <w:b w:val="0"/>
          <w:color w:val="000000"/>
          <w:sz w:val="30"/>
          <w:szCs w:val="30"/>
        </w:rPr>
      </w:pPr>
      <w:r>
        <w:rPr>
          <w:rFonts w:hint="eastAsia" w:ascii="方正小标宋简体" w:hAnsi="方正小标宋简体" w:eastAsia="方正小标宋简体" w:cs="方正小标宋简体"/>
          <w:b/>
          <w:color w:val="auto"/>
          <w:sz w:val="36"/>
          <w:szCs w:val="36"/>
          <w:lang w:eastAsia="zh-CN"/>
        </w:rPr>
        <w:t>卷收器固定板铆压定位轴工装项目招标</w:t>
      </w:r>
      <w:r>
        <w:rPr>
          <w:rStyle w:val="9"/>
          <w:rFonts w:hint="eastAsia" w:ascii="方正小标宋简体" w:hAnsi="方正小标宋简体" w:eastAsia="方正小标宋简体" w:cs="方正小标宋简体"/>
          <w:color w:val="000000"/>
          <w:sz w:val="36"/>
          <w:szCs w:val="36"/>
        </w:rPr>
        <w:t>公告</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一、招标项目</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卷收器固定板铆压定位轴工装项目</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二、招标项目内容</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宋体" w:hAnsi="宋体" w:eastAsia="仿宋_GB2312" w:cs="宋体"/>
          <w:kern w:val="0"/>
          <w:sz w:val="28"/>
          <w:szCs w:val="24"/>
          <w:highlight w:val="none"/>
          <w:lang w:val="en-US" w:eastAsia="zh-CN" w:bidi="ar-SA"/>
        </w:rPr>
      </w:pPr>
      <w:r>
        <w:rPr>
          <w:rFonts w:hint="eastAsia" w:ascii="宋体" w:hAnsi="宋体" w:eastAsia="仿宋_GB2312" w:cs="宋体"/>
          <w:kern w:val="0"/>
          <w:sz w:val="28"/>
          <w:szCs w:val="24"/>
          <w:highlight w:val="none"/>
          <w:lang w:val="en-US" w:eastAsia="zh-CN" w:bidi="ar-SA"/>
        </w:rPr>
        <w:t>根据公司制度流程，现</w:t>
      </w:r>
      <w:r>
        <w:rPr>
          <w:rFonts w:hint="eastAsia" w:eastAsia="仿宋_GB2312" w:cs="宋体"/>
          <w:kern w:val="0"/>
          <w:sz w:val="28"/>
          <w:szCs w:val="24"/>
          <w:highlight w:val="none"/>
          <w:lang w:val="en-US" w:eastAsia="zh-CN" w:bidi="ar-SA"/>
        </w:rPr>
        <w:t>对</w:t>
      </w:r>
      <w:r>
        <w:rPr>
          <w:rFonts w:hint="eastAsia" w:eastAsia="仿宋_GB2312"/>
          <w:sz w:val="28"/>
          <w:szCs w:val="24"/>
          <w:highlight w:val="none"/>
          <w:lang w:val="en-US" w:eastAsia="zh-CN"/>
        </w:rPr>
        <w:t>卷收器固定板铆压定位轴工装项目进行公开招标</w:t>
      </w:r>
      <w:r>
        <w:rPr>
          <w:rFonts w:hint="eastAsia" w:ascii="宋体" w:hAnsi="宋体" w:eastAsia="仿宋_GB2312" w:cs="宋体"/>
          <w:kern w:val="0"/>
          <w:sz w:val="28"/>
          <w:szCs w:val="24"/>
          <w:highlight w:val="none"/>
          <w:lang w:val="en-US" w:eastAsia="zh-CN" w:bidi="ar-SA"/>
        </w:rPr>
        <w:t>，招标内容详见招标文件。</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三、获取招标文件时间</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rPr>
        <w:t>截止到202</w:t>
      </w:r>
      <w:r>
        <w:rPr>
          <w:rFonts w:hint="eastAsia" w:eastAsia="仿宋_GB2312"/>
          <w:sz w:val="28"/>
          <w:szCs w:val="24"/>
          <w:highlight w:val="none"/>
          <w:lang w:val="en-US" w:eastAsia="zh-CN"/>
        </w:rPr>
        <w:t>4</w:t>
      </w:r>
      <w:r>
        <w:rPr>
          <w:rFonts w:hint="eastAsia" w:eastAsia="仿宋_GB2312"/>
          <w:sz w:val="28"/>
          <w:szCs w:val="24"/>
          <w:highlight w:val="none"/>
        </w:rPr>
        <w:t>年</w:t>
      </w:r>
      <w:r>
        <w:rPr>
          <w:rFonts w:hint="default" w:eastAsia="仿宋_GB2312"/>
          <w:sz w:val="28"/>
          <w:szCs w:val="24"/>
          <w:highlight w:val="none"/>
          <w:lang w:val="en-US" w:eastAsia="zh-CN"/>
        </w:rPr>
        <w:t>12</w:t>
      </w:r>
      <w:r>
        <w:rPr>
          <w:rFonts w:hint="eastAsia" w:eastAsia="仿宋_GB2312"/>
          <w:sz w:val="28"/>
          <w:szCs w:val="24"/>
          <w:highlight w:val="none"/>
        </w:rPr>
        <w:t>月</w:t>
      </w:r>
      <w:r>
        <w:rPr>
          <w:rFonts w:hint="default" w:eastAsia="仿宋_GB2312"/>
          <w:sz w:val="28"/>
          <w:szCs w:val="24"/>
          <w:highlight w:val="none"/>
          <w:lang w:val="en-US" w:eastAsia="zh-CN"/>
        </w:rPr>
        <w:t>10</w:t>
      </w:r>
      <w:r>
        <w:rPr>
          <w:rFonts w:hint="eastAsia" w:eastAsia="仿宋_GB2312"/>
          <w:sz w:val="28"/>
          <w:szCs w:val="24"/>
          <w:highlight w:val="none"/>
        </w:rPr>
        <w:t>日</w:t>
      </w:r>
      <w:r>
        <w:rPr>
          <w:rFonts w:hint="eastAsia" w:eastAsia="仿宋_GB2312"/>
          <w:sz w:val="28"/>
          <w:szCs w:val="24"/>
          <w:highlight w:val="none"/>
          <w:lang w:val="en-US" w:eastAsia="zh-CN"/>
        </w:rPr>
        <w:t>18</w:t>
      </w:r>
      <w:r>
        <w:rPr>
          <w:rFonts w:hint="eastAsia" w:eastAsia="仿宋_GB2312"/>
          <w:sz w:val="28"/>
          <w:szCs w:val="24"/>
          <w:highlight w:val="none"/>
        </w:rPr>
        <w:t>:00</w:t>
      </w:r>
      <w:r>
        <w:rPr>
          <w:rFonts w:hint="eastAsia" w:eastAsia="仿宋_GB2312"/>
          <w:sz w:val="28"/>
          <w:szCs w:val="24"/>
          <w:highlight w:val="none"/>
          <w:lang w:val="en-US" w:eastAsia="zh-CN"/>
        </w:rPr>
        <w:t>前</w:t>
      </w:r>
      <w:r>
        <w:rPr>
          <w:rFonts w:hint="eastAsia" w:eastAsia="仿宋_GB2312"/>
          <w:sz w:val="28"/>
          <w:szCs w:val="24"/>
          <w:highlight w:val="none"/>
        </w:rPr>
        <w:t>，</w:t>
      </w:r>
      <w:r>
        <w:rPr>
          <w:rFonts w:hint="eastAsia" w:eastAsia="仿宋_GB2312"/>
          <w:sz w:val="28"/>
          <w:szCs w:val="24"/>
          <w:highlight w:val="none"/>
          <w:lang w:eastAsia="zh-CN"/>
        </w:rPr>
        <w:t>标书自行下载或找招标负责人领取，招标文件下载方式见底部附件</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rPr>
        <w:t>四、开标时间、地点</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lang w:val="en-US" w:eastAsia="zh-CN"/>
        </w:rPr>
        <w:t>1.开</w:t>
      </w:r>
      <w:r>
        <w:rPr>
          <w:rFonts w:hint="eastAsia" w:eastAsia="仿宋_GB2312"/>
          <w:sz w:val="28"/>
          <w:szCs w:val="24"/>
          <w:highlight w:val="none"/>
        </w:rPr>
        <w:t>标时间：</w:t>
      </w:r>
      <w:r>
        <w:rPr>
          <w:rFonts w:hint="default"/>
          <w:color w:val="FF0000"/>
          <w:szCs w:val="21"/>
          <w:lang w:val="en-US" w:eastAsia="zh-CN"/>
        </w:rPr>
        <w:t>12</w:t>
      </w:r>
      <w:r>
        <w:rPr>
          <w:rFonts w:hint="eastAsia" w:ascii="宋体" w:hAnsi="宋体"/>
          <w:color w:val="FF0000"/>
          <w:szCs w:val="21"/>
          <w:lang w:val="en-US" w:eastAsia="zh-CN"/>
        </w:rPr>
        <w:t>月</w:t>
      </w:r>
      <w:r>
        <w:rPr>
          <w:rFonts w:hint="default"/>
          <w:color w:val="FF0000"/>
          <w:szCs w:val="21"/>
          <w:lang w:val="en-US" w:eastAsia="zh-CN"/>
        </w:rPr>
        <w:t>11</w:t>
      </w:r>
      <w:r>
        <w:rPr>
          <w:rFonts w:hint="eastAsia" w:ascii="宋体" w:hAnsi="宋体"/>
          <w:color w:val="FF0000"/>
          <w:szCs w:val="21"/>
          <w:lang w:val="en-US" w:eastAsia="zh-CN"/>
        </w:rPr>
        <w:t>日上午</w:t>
      </w:r>
      <w:r>
        <w:rPr>
          <w:rFonts w:hint="default" w:ascii="宋体" w:hAnsi="宋体"/>
          <w:color w:val="FF0000"/>
          <w:szCs w:val="21"/>
          <w:lang w:val="en-US" w:eastAsia="zh-CN"/>
        </w:rPr>
        <w:t>9</w:t>
      </w:r>
      <w:r>
        <w:rPr>
          <w:rFonts w:hint="eastAsia" w:ascii="宋体" w:hAnsi="宋体"/>
          <w:color w:val="FF0000"/>
          <w:szCs w:val="21"/>
          <w:lang w:val="en-US" w:eastAsia="zh-CN"/>
        </w:rPr>
        <w:t>点</w:t>
      </w:r>
      <w:r>
        <w:rPr>
          <w:rFonts w:hint="default" w:ascii="宋体" w:hAnsi="宋体"/>
          <w:color w:val="FF0000"/>
          <w:szCs w:val="21"/>
          <w:lang w:val="en-US" w:eastAsia="zh-CN"/>
        </w:rPr>
        <w:t>00</w:t>
      </w:r>
      <w:r>
        <w:rPr>
          <w:rFonts w:hint="eastAsia" w:ascii="宋体" w:hAnsi="宋体"/>
          <w:color w:val="FF0000"/>
          <w:szCs w:val="21"/>
          <w:lang w:val="en-US" w:eastAsia="zh-CN"/>
        </w:rPr>
        <w:t>分-</w:t>
      </w:r>
      <w:r>
        <w:rPr>
          <w:rFonts w:hint="default" w:ascii="宋体" w:hAnsi="宋体"/>
          <w:color w:val="FF0000"/>
          <w:szCs w:val="21"/>
          <w:lang w:val="en-US" w:eastAsia="zh-CN"/>
        </w:rPr>
        <w:t>11</w:t>
      </w:r>
      <w:r>
        <w:rPr>
          <w:rFonts w:hint="eastAsia" w:ascii="宋体" w:hAnsi="宋体"/>
          <w:color w:val="FF0000"/>
          <w:szCs w:val="21"/>
          <w:lang w:val="en-US" w:eastAsia="zh-CN"/>
        </w:rPr>
        <w:t>点30分</w:t>
      </w:r>
      <w:r>
        <w:rPr>
          <w:rFonts w:hint="eastAsia" w:eastAsia="仿宋_GB2312"/>
          <w:sz w:val="28"/>
          <w:szCs w:val="24"/>
          <w:highlight w:val="none"/>
        </w:rPr>
        <w:t xml:space="preserve">  </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2.开</w:t>
      </w:r>
      <w:r>
        <w:rPr>
          <w:rFonts w:hint="eastAsia" w:eastAsia="仿宋_GB2312"/>
          <w:sz w:val="28"/>
          <w:szCs w:val="24"/>
          <w:highlight w:val="none"/>
        </w:rPr>
        <w:t>标地点：山东省聊城市</w:t>
      </w:r>
      <w:r>
        <w:rPr>
          <w:rFonts w:hint="eastAsia" w:eastAsia="仿宋_GB2312"/>
          <w:sz w:val="28"/>
          <w:szCs w:val="24"/>
          <w:highlight w:val="none"/>
          <w:lang w:eastAsia="zh-CN"/>
        </w:rPr>
        <w:t>东昌府区黄河路</w:t>
      </w:r>
      <w:r>
        <w:rPr>
          <w:rFonts w:hint="default" w:eastAsia="仿宋_GB2312"/>
          <w:sz w:val="28"/>
          <w:szCs w:val="24"/>
          <w:highlight w:val="none"/>
          <w:lang w:val="en-US" w:eastAsia="zh-CN"/>
        </w:rPr>
        <w:t>261</w:t>
      </w:r>
      <w:r>
        <w:rPr>
          <w:rFonts w:hint="eastAsia" w:eastAsia="仿宋_GB2312"/>
          <w:sz w:val="28"/>
          <w:szCs w:val="24"/>
          <w:highlight w:val="none"/>
          <w:lang w:val="en-US" w:eastAsia="zh-CN"/>
        </w:rPr>
        <w:t>号办公楼</w:t>
      </w:r>
      <w:r>
        <w:rPr>
          <w:rFonts w:hint="default" w:eastAsia="仿宋_GB2312"/>
          <w:sz w:val="28"/>
          <w:szCs w:val="24"/>
          <w:highlight w:val="none"/>
          <w:lang w:val="en-US" w:eastAsia="zh-CN"/>
        </w:rPr>
        <w:t>2</w:t>
      </w:r>
      <w:r>
        <w:rPr>
          <w:rFonts w:hint="eastAsia" w:eastAsia="仿宋_GB2312"/>
          <w:sz w:val="28"/>
          <w:szCs w:val="24"/>
          <w:highlight w:val="none"/>
          <w:lang w:val="en-US" w:eastAsia="zh-CN"/>
        </w:rPr>
        <w:t>楼招标管理办公室</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rPr>
      </w:pPr>
      <w:r>
        <w:rPr>
          <w:rFonts w:hint="eastAsia" w:ascii="黑体" w:hAnsi="黑体" w:eastAsia="黑体" w:cs="黑体"/>
          <w:sz w:val="28"/>
          <w:szCs w:val="24"/>
          <w:highlight w:val="none"/>
          <w:lang w:eastAsia="zh-CN"/>
        </w:rPr>
        <w:t>五、项目总预算及</w:t>
      </w:r>
      <w:r>
        <w:rPr>
          <w:rFonts w:hint="eastAsia" w:ascii="黑体" w:hAnsi="黑体" w:eastAsia="黑体" w:cs="黑体"/>
          <w:sz w:val="28"/>
          <w:szCs w:val="24"/>
          <w:highlight w:val="none"/>
        </w:rPr>
        <w:t>付款方式</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default" w:eastAsia="仿宋_GB2312"/>
          <w:sz w:val="28"/>
          <w:szCs w:val="24"/>
          <w:highlight w:val="none"/>
          <w:lang w:val="en-US" w:eastAsia="zh-CN"/>
        </w:rPr>
      </w:pPr>
      <w:r>
        <w:rPr>
          <w:rFonts w:hint="default" w:eastAsia="仿宋_GB2312"/>
          <w:sz w:val="28"/>
          <w:szCs w:val="24"/>
          <w:highlight w:val="none"/>
          <w:lang w:val="en-US" w:eastAsia="zh-CN"/>
        </w:rPr>
        <w:t>1.</w:t>
      </w:r>
      <w:r>
        <w:rPr>
          <w:rFonts w:hint="eastAsia" w:eastAsia="仿宋_GB2312"/>
          <w:sz w:val="28"/>
          <w:szCs w:val="24"/>
          <w:highlight w:val="none"/>
          <w:lang w:val="en-US" w:eastAsia="zh-CN"/>
        </w:rPr>
        <w:t>项目总预算：</w:t>
      </w:r>
      <w:r>
        <w:rPr>
          <w:rFonts w:hint="default" w:eastAsia="仿宋_GB2312"/>
          <w:sz w:val="28"/>
          <w:szCs w:val="24"/>
          <w:highlight w:val="none"/>
          <w:lang w:val="en-US" w:eastAsia="zh-CN"/>
        </w:rPr>
        <w:t>8</w:t>
      </w:r>
      <w:r>
        <w:rPr>
          <w:rFonts w:hint="eastAsia" w:eastAsia="仿宋_GB2312"/>
          <w:sz w:val="28"/>
          <w:szCs w:val="24"/>
          <w:highlight w:val="none"/>
          <w:lang w:val="en-US" w:eastAsia="zh-CN"/>
        </w:rPr>
        <w:t>万</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eastAsia="zh-CN"/>
        </w:rPr>
      </w:pPr>
      <w:r>
        <w:rPr>
          <w:rFonts w:hint="default" w:eastAsia="仿宋_GB2312"/>
          <w:sz w:val="28"/>
          <w:szCs w:val="24"/>
          <w:highlight w:val="none"/>
          <w:lang w:val="en-US" w:eastAsia="zh-CN"/>
        </w:rPr>
        <w:t>2.</w:t>
      </w:r>
      <w:r>
        <w:rPr>
          <w:rFonts w:hint="eastAsia" w:eastAsia="仿宋_GB2312"/>
          <w:sz w:val="28"/>
          <w:szCs w:val="24"/>
          <w:highlight w:val="none"/>
          <w:lang w:val="en-US" w:eastAsia="zh-CN"/>
        </w:rPr>
        <w:t>付款方式：可开具增值税专用发票，发票税率为13%；合同签订后，支付合同金额的</w:t>
      </w:r>
      <w:r>
        <w:rPr>
          <w:rFonts w:hint="default" w:eastAsia="仿宋_GB2312"/>
          <w:sz w:val="28"/>
          <w:szCs w:val="24"/>
          <w:highlight w:val="none"/>
          <w:lang w:val="en-US" w:eastAsia="zh-CN"/>
        </w:rPr>
        <w:t>20%</w:t>
      </w:r>
      <w:r>
        <w:rPr>
          <w:rFonts w:hint="eastAsia" w:eastAsia="仿宋_GB2312"/>
          <w:sz w:val="28"/>
          <w:szCs w:val="24"/>
          <w:highlight w:val="none"/>
          <w:lang w:val="en-US" w:eastAsia="zh-CN"/>
        </w:rPr>
        <w:t>；零部件交付验收合格发票入帐</w:t>
      </w:r>
      <w:r>
        <w:rPr>
          <w:rFonts w:hint="default" w:eastAsia="仿宋_GB2312"/>
          <w:sz w:val="28"/>
          <w:szCs w:val="24"/>
          <w:highlight w:val="none"/>
          <w:lang w:val="en-US" w:eastAsia="zh-CN"/>
        </w:rPr>
        <w:t>1</w:t>
      </w:r>
      <w:r>
        <w:rPr>
          <w:rFonts w:hint="eastAsia" w:eastAsia="仿宋_GB2312"/>
          <w:sz w:val="28"/>
          <w:szCs w:val="24"/>
          <w:highlight w:val="none"/>
          <w:lang w:val="en-US" w:eastAsia="zh-CN"/>
        </w:rPr>
        <w:t>个月付合同金额的</w:t>
      </w:r>
      <w:r>
        <w:rPr>
          <w:rFonts w:hint="default" w:eastAsia="仿宋_GB2312"/>
          <w:sz w:val="28"/>
          <w:szCs w:val="24"/>
          <w:highlight w:val="none"/>
          <w:lang w:val="en-US" w:eastAsia="zh-CN"/>
        </w:rPr>
        <w:t>70</w:t>
      </w:r>
      <w:r>
        <w:rPr>
          <w:rFonts w:hint="eastAsia" w:eastAsia="仿宋_GB2312"/>
          <w:sz w:val="28"/>
          <w:szCs w:val="24"/>
          <w:highlight w:val="none"/>
          <w:lang w:val="en-US" w:eastAsia="zh-CN"/>
        </w:rPr>
        <w:t>%；剩余10%（尾款）留作质保金,无质量问题发票入帐</w:t>
      </w:r>
      <w:r>
        <w:rPr>
          <w:rFonts w:hint="default" w:eastAsia="仿宋_GB2312"/>
          <w:sz w:val="28"/>
          <w:szCs w:val="24"/>
          <w:highlight w:val="none"/>
          <w:lang w:val="en-US" w:eastAsia="zh-CN"/>
        </w:rPr>
        <w:t>12</w:t>
      </w:r>
      <w:r>
        <w:rPr>
          <w:rFonts w:hint="eastAsia" w:eastAsia="仿宋_GB2312"/>
          <w:sz w:val="28"/>
          <w:szCs w:val="24"/>
          <w:highlight w:val="none"/>
          <w:lang w:val="en-US" w:eastAsia="zh-CN"/>
        </w:rPr>
        <w:t>个月（一年）支付。可承兑支付。</w:t>
      </w:r>
    </w:p>
    <w:p>
      <w:pPr>
        <w:keepNext w:val="0"/>
        <w:keepLines w:val="0"/>
        <w:pageBreakBefore w:val="0"/>
        <w:kinsoku/>
        <w:wordWrap/>
        <w:overflowPunct/>
        <w:topLinePunct w:val="0"/>
        <w:autoSpaceDE/>
        <w:autoSpaceDN/>
        <w:bidi w:val="0"/>
        <w:adjustRightInd w:val="0"/>
        <w:snapToGrid w:val="0"/>
        <w:spacing w:line="300" w:lineRule="auto"/>
        <w:ind w:firstLine="560" w:firstLineChars="200"/>
        <w:textAlignment w:val="auto"/>
      </w:pPr>
      <w:r>
        <w:rPr>
          <w:rFonts w:hint="eastAsia" w:ascii="黑体" w:hAnsi="黑体" w:eastAsia="黑体" w:cs="黑体"/>
          <w:sz w:val="28"/>
          <w:szCs w:val="24"/>
          <w:highlight w:val="none"/>
          <w:lang w:eastAsia="zh-CN"/>
        </w:rPr>
        <w:t>六</w:t>
      </w:r>
      <w:r>
        <w:rPr>
          <w:rFonts w:hint="eastAsia" w:ascii="黑体" w:hAnsi="黑体" w:eastAsia="黑体" w:cs="黑体"/>
          <w:sz w:val="28"/>
          <w:szCs w:val="24"/>
          <w:highlight w:val="none"/>
        </w:rPr>
        <w:t>、资质要求</w:t>
      </w:r>
      <w:r>
        <w:rPr>
          <w:rFonts w:hint="eastAsia" w:ascii="黑体" w:hAnsi="黑体" w:eastAsia="黑体" w:cs="黑体"/>
          <w:sz w:val="28"/>
          <w:szCs w:val="24"/>
          <w:highlight w:val="none"/>
        </w:rPr>
        <w:tab/>
      </w:r>
    </w:p>
    <w:tbl>
      <w:tblPr>
        <w:tblStyle w:val="7"/>
        <w:tblW w:w="9465" w:type="dxa"/>
        <w:tblInd w:w="-5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549"/>
        <w:gridCol w:w="79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项目</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资信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仿宋" w:hAnsi="仿宋" w:eastAsia="仿宋" w:cs="仿宋"/>
                <w:sz w:val="28"/>
                <w:szCs w:val="28"/>
                <w:lang w:val="en-US" w:eastAsia="zh-CN"/>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经会计师事务所审计且出具无保留意见的近三年的财务审计报告原件，并加盖公章，包括但不限于报告页、经审计的资产负债表、利润表、现金流量表及报表附注。如投</w:t>
            </w:r>
            <w:r>
              <w:rPr>
                <w:rFonts w:hint="eastAsia" w:ascii="宋体" w:hAnsi="宋体"/>
                <w:sz w:val="20"/>
                <w:szCs w:val="20"/>
              </w:rPr>
              <w:br w:type="textWrapping"/>
            </w:r>
            <w:r>
              <w:rPr>
                <w:rFonts w:hint="eastAsia" w:ascii="宋体" w:hAnsi="宋体"/>
                <w:sz w:val="20"/>
                <w:szCs w:val="20"/>
                <w:lang w:val="en-US" w:eastAsia="zh-CN"/>
              </w:rPr>
              <w:t>标人公司没有经审计的财务报告，可提供加盖公章的近三年财务报表，包括但不限于资产负债表、利润表、现金流量表。应提供中文版本的审计报告或财务报表。</w:t>
            </w:r>
            <w:r>
              <w:rPr>
                <w:rFonts w:hint="eastAsia" w:ascii="宋体" w:hAnsi="宋体"/>
                <w:sz w:val="20"/>
                <w:szCs w:val="20"/>
                <w:lang w:val="en-US" w:eastAsia="zh-CN"/>
              </w:rPr>
              <w:br w:type="textWrapping"/>
            </w:r>
            <w:r>
              <w:rPr>
                <w:rFonts w:hint="default" w:ascii="宋体" w:hAnsi="宋体"/>
                <w:sz w:val="20"/>
                <w:szCs w:val="20"/>
                <w:lang w:val="en-US" w:eastAsia="zh-CN"/>
              </w:rPr>
              <w:t>2</w:t>
            </w:r>
            <w:r>
              <w:rPr>
                <w:rFonts w:hint="eastAsia" w:ascii="宋体" w:hAnsi="宋体"/>
                <w:sz w:val="20"/>
                <w:szCs w:val="20"/>
                <w:lang w:val="en-US" w:eastAsia="zh-CN"/>
              </w:rPr>
              <w:t>、企业最近半年完税证明、信用证明材料（中国人民银行信用代码证+征信报告）。</w:t>
            </w:r>
            <w:r>
              <w:rPr>
                <w:rFonts w:hint="eastAsia" w:ascii="宋体" w:hAnsi="宋体"/>
                <w:sz w:val="20"/>
                <w:szCs w:val="20"/>
                <w:lang w:val="en-US" w:eastAsia="zh-CN"/>
              </w:rPr>
              <w:br w:type="textWrapping"/>
            </w:r>
            <w:r>
              <w:rPr>
                <w:rFonts w:hint="default" w:ascii="宋体" w:hAnsi="宋体"/>
                <w:sz w:val="20"/>
                <w:szCs w:val="20"/>
                <w:lang w:val="en-US" w:eastAsia="zh-CN"/>
              </w:rPr>
              <w:t>3</w:t>
            </w:r>
            <w:r>
              <w:rPr>
                <w:rFonts w:hint="eastAsia" w:ascii="宋体" w:hAnsi="宋体"/>
                <w:sz w:val="20"/>
                <w:szCs w:val="20"/>
                <w:lang w:val="en-US" w:eastAsia="zh-CN"/>
              </w:rPr>
              <w:t>、年度纳税信用评价信息（可从电子税务局查询截图，需加盖公章）。</w:t>
            </w:r>
            <w:r>
              <w:rPr>
                <w:rFonts w:hint="eastAsia" w:ascii="宋体" w:hAnsi="宋体"/>
                <w:sz w:val="20"/>
                <w:szCs w:val="20"/>
                <w:lang w:val="en-US" w:eastAsia="zh-CN"/>
              </w:rPr>
              <w:br w:type="textWrapping"/>
            </w:r>
            <w:r>
              <w:rPr>
                <w:rFonts w:hint="default" w:ascii="宋体" w:hAnsi="宋体"/>
                <w:sz w:val="20"/>
                <w:szCs w:val="20"/>
                <w:lang w:val="en-US" w:eastAsia="zh-CN"/>
              </w:rPr>
              <w:t>4</w:t>
            </w:r>
            <w:r>
              <w:rPr>
                <w:rFonts w:hint="eastAsia" w:ascii="宋体" w:hAnsi="宋体"/>
                <w:sz w:val="20"/>
                <w:szCs w:val="20"/>
                <w:lang w:val="en-US" w:eastAsia="zh-CN"/>
              </w:rPr>
              <w:t>、企业对外担保说明（写明贵单位对外有无对外担保和质押业务，需加盖公章）。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4"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center"/>
              <w:textAlignment w:val="auto"/>
              <w:rPr>
                <w:rFonts w:hint="eastAsia" w:ascii="仿宋" w:hAnsi="仿宋" w:eastAsia="仿宋" w:cs="仿宋"/>
                <w:sz w:val="28"/>
                <w:szCs w:val="28"/>
              </w:rPr>
            </w:pPr>
            <w:r>
              <w:rPr>
                <w:rFonts w:hint="eastAsia" w:ascii="仿宋" w:hAnsi="仿宋" w:eastAsia="仿宋" w:cs="仿宋"/>
                <w:sz w:val="28"/>
                <w:szCs w:val="28"/>
              </w:rPr>
              <w:t>规模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lang w:val="en-US" w:eastAsia="zh-CN"/>
              </w:rPr>
            </w:pPr>
            <w:r>
              <w:rPr>
                <w:rFonts w:hint="eastAsia" w:ascii="宋体" w:hAnsi="宋体"/>
                <w:sz w:val="20"/>
                <w:szCs w:val="20"/>
                <w:lang w:val="en-US" w:eastAsia="zh-CN"/>
              </w:rPr>
              <w:t>1.从事模具加工行业不低于</w:t>
            </w:r>
            <w:r>
              <w:rPr>
                <w:rFonts w:hint="default" w:ascii="宋体" w:hAnsi="宋体"/>
                <w:sz w:val="20"/>
                <w:szCs w:val="20"/>
                <w:lang w:val="en-US" w:eastAsia="zh-CN"/>
              </w:rPr>
              <w:t>3</w:t>
            </w:r>
            <w:r>
              <w:rPr>
                <w:rFonts w:hint="eastAsia" w:ascii="宋体" w:hAnsi="宋体"/>
                <w:sz w:val="20"/>
                <w:szCs w:val="20"/>
                <w:lang w:val="en-US" w:eastAsia="zh-CN"/>
              </w:rPr>
              <w:t>年，具有独立的模具设计加工能力。</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lang w:val="en-US" w:eastAsia="zh-CN"/>
              </w:rPr>
            </w:pPr>
            <w:r>
              <w:rPr>
                <w:rFonts w:hint="eastAsia" w:ascii="宋体" w:hAnsi="宋体"/>
                <w:sz w:val="20"/>
                <w:szCs w:val="20"/>
                <w:lang w:val="en-US" w:eastAsia="zh-CN"/>
              </w:rPr>
              <w:t>2.员工数量不低于</w:t>
            </w:r>
            <w:r>
              <w:rPr>
                <w:rFonts w:hint="default" w:ascii="宋体" w:hAnsi="宋体"/>
                <w:sz w:val="20"/>
                <w:szCs w:val="20"/>
                <w:lang w:val="en-US" w:eastAsia="zh-CN"/>
              </w:rPr>
              <w:t>30</w:t>
            </w:r>
            <w:r>
              <w:rPr>
                <w:rFonts w:hint="eastAsia" w:ascii="宋体" w:hAnsi="宋体"/>
                <w:sz w:val="20"/>
                <w:szCs w:val="20"/>
                <w:lang w:val="en-US" w:eastAsia="zh-CN"/>
              </w:rPr>
              <w:t>人。</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default" w:ascii="仿宋" w:hAnsi="仿宋" w:eastAsia="仿宋" w:cs="仿宋"/>
                <w:sz w:val="28"/>
                <w:szCs w:val="28"/>
                <w:lang w:val="en-US" w:eastAsia="zh-CN"/>
              </w:rPr>
            </w:pPr>
            <w:r>
              <w:rPr>
                <w:rFonts w:hint="eastAsia" w:ascii="宋体" w:hAnsi="宋体"/>
                <w:sz w:val="20"/>
                <w:szCs w:val="20"/>
                <w:lang w:val="en-US" w:eastAsia="zh-CN"/>
              </w:rPr>
              <w:t>3.年销售额不得少于500万元。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71"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资质能力</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注册资本符合项目要求，原则上投标人注册资金不得低于项目标的额或不低于500万元</w:t>
            </w:r>
            <w:r>
              <w:rPr>
                <w:rFonts w:hint="eastAsia" w:ascii="宋体" w:hAnsi="宋体"/>
                <w:sz w:val="20"/>
                <w:szCs w:val="20"/>
                <w:lang w:eastAsia="zh-CN"/>
              </w:rPr>
              <w:t>。</w:t>
            </w:r>
            <w:r>
              <w:rPr>
                <w:rFonts w:hint="eastAsia" w:ascii="宋体" w:hAnsi="宋体"/>
                <w:sz w:val="20"/>
                <w:szCs w:val="20"/>
              </w:rPr>
              <w:t>投标人注册资金不符条件但确属优秀的，经项目实施单位和业务主管部门负责人会签后，可接受其投标</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2</w:t>
            </w:r>
            <w:r>
              <w:rPr>
                <w:rFonts w:hint="eastAsia" w:ascii="宋体" w:hAnsi="宋体"/>
                <w:sz w:val="20"/>
                <w:szCs w:val="20"/>
                <w:lang w:val="en-US" w:eastAsia="zh-CN"/>
              </w:rPr>
              <w:t>、</w:t>
            </w:r>
            <w:r>
              <w:rPr>
                <w:rFonts w:hint="eastAsia" w:ascii="宋体" w:hAnsi="宋体"/>
                <w:sz w:val="20"/>
                <w:szCs w:val="20"/>
              </w:rPr>
              <w:t>满足技术、质量、资金等要求，财务状况良好、经营稳定，具有全面履约的能力，能提供相关信用等级和完税证明</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3</w:t>
            </w:r>
            <w:r>
              <w:rPr>
                <w:rFonts w:hint="eastAsia" w:ascii="宋体" w:hAnsi="宋体"/>
                <w:sz w:val="20"/>
                <w:szCs w:val="20"/>
                <w:lang w:val="en-US" w:eastAsia="zh-CN"/>
              </w:rPr>
              <w:t>、</w:t>
            </w:r>
            <w:r>
              <w:rPr>
                <w:rFonts w:hint="eastAsia" w:ascii="宋体" w:hAnsi="宋体"/>
                <w:sz w:val="20"/>
                <w:szCs w:val="20"/>
              </w:rPr>
              <w:t>投标人之间必须具有充分的竞争关系</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4</w:t>
            </w:r>
            <w:r>
              <w:rPr>
                <w:rFonts w:hint="eastAsia" w:ascii="宋体" w:hAnsi="宋体"/>
                <w:sz w:val="20"/>
                <w:szCs w:val="20"/>
                <w:lang w:val="en-US" w:eastAsia="zh-CN"/>
              </w:rPr>
              <w:t>、</w:t>
            </w:r>
            <w:r>
              <w:rPr>
                <w:rFonts w:hint="eastAsia" w:ascii="宋体" w:hAnsi="宋体"/>
                <w:sz w:val="20"/>
                <w:szCs w:val="20"/>
              </w:rPr>
              <w:t>在“国家企业信用信息公示系统”、“中国执行信息公开网”、“信用中国”、“天眼查”“裁判文书网”等信息平台中，无行政处罚及失信记录等信息</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5</w:t>
            </w:r>
            <w:r>
              <w:rPr>
                <w:rFonts w:hint="eastAsia" w:ascii="宋体" w:hAnsi="宋体"/>
                <w:sz w:val="20"/>
                <w:szCs w:val="20"/>
                <w:lang w:val="en-US" w:eastAsia="zh-CN"/>
              </w:rPr>
              <w:t>、</w:t>
            </w:r>
            <w:r>
              <w:rPr>
                <w:rFonts w:hint="eastAsia" w:ascii="宋体" w:hAnsi="宋体"/>
                <w:sz w:val="20"/>
                <w:szCs w:val="20"/>
              </w:rPr>
              <w:t>无招标违规、谎报年度报告信息、提供虚假资质资料等行为或其他行政处罚记录</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eastAsiaTheme="minorEastAsia"/>
                <w:sz w:val="20"/>
                <w:szCs w:val="20"/>
                <w:lang w:eastAsia="zh-CN"/>
              </w:rPr>
            </w:pPr>
            <w:r>
              <w:rPr>
                <w:rFonts w:hint="default" w:ascii="宋体" w:hAnsi="宋体"/>
                <w:sz w:val="20"/>
                <w:szCs w:val="20"/>
                <w:lang w:val="en-US"/>
              </w:rPr>
              <w:t>6</w:t>
            </w:r>
            <w:r>
              <w:rPr>
                <w:rFonts w:hint="eastAsia" w:ascii="宋体" w:hAnsi="宋体"/>
                <w:sz w:val="20"/>
                <w:szCs w:val="20"/>
                <w:lang w:val="en-US" w:eastAsia="zh-CN"/>
              </w:rPr>
              <w:t>、</w:t>
            </w:r>
            <w:r>
              <w:rPr>
                <w:rFonts w:hint="eastAsia" w:ascii="宋体" w:hAnsi="宋体"/>
                <w:sz w:val="20"/>
                <w:szCs w:val="20"/>
              </w:rPr>
              <w:t>没有被公司列入黑名单</w:t>
            </w:r>
            <w:r>
              <w:rPr>
                <w:rFonts w:hint="eastAsia" w:ascii="宋体" w:hAnsi="宋体"/>
                <w:sz w:val="20"/>
                <w:szCs w:val="20"/>
                <w:lang w:eastAsia="zh-CN"/>
              </w:rPr>
              <w:t>。</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default" w:ascii="宋体" w:hAnsi="宋体"/>
                <w:sz w:val="20"/>
                <w:szCs w:val="20"/>
                <w:lang w:val="en-US"/>
              </w:rPr>
              <w:t>7</w:t>
            </w:r>
            <w:r>
              <w:rPr>
                <w:rFonts w:hint="eastAsia" w:ascii="宋体" w:hAnsi="宋体"/>
                <w:sz w:val="20"/>
                <w:szCs w:val="20"/>
                <w:lang w:val="en-US" w:eastAsia="zh-CN"/>
              </w:rPr>
              <w:t>、</w:t>
            </w:r>
            <w:r>
              <w:rPr>
                <w:rFonts w:hint="eastAsia" w:ascii="宋体" w:hAnsi="宋体"/>
                <w:sz w:val="20"/>
                <w:szCs w:val="20"/>
              </w:rPr>
              <w:t>供方的直接或间接股东、法定代表人、董事、监事、高管非重汽员工及其亲属。</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36" w:hRule="atLeast"/>
        </w:trPr>
        <w:tc>
          <w:tcPr>
            <w:tcW w:w="1549"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周期服务</w:t>
            </w:r>
          </w:p>
        </w:tc>
        <w:tc>
          <w:tcPr>
            <w:tcW w:w="7916" w:type="dxa"/>
            <w:vAlign w:val="center"/>
          </w:tcPr>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default" w:ascii="宋体" w:hAnsi="宋体"/>
                <w:sz w:val="20"/>
                <w:szCs w:val="20"/>
                <w:lang w:val="en-US"/>
              </w:rPr>
              <w:t>1</w:t>
            </w:r>
            <w:r>
              <w:rPr>
                <w:rFonts w:hint="eastAsia" w:ascii="宋体" w:hAnsi="宋体"/>
                <w:sz w:val="20"/>
                <w:szCs w:val="20"/>
                <w:lang w:val="en-US" w:eastAsia="zh-CN"/>
              </w:rPr>
              <w:t>、</w:t>
            </w:r>
            <w:r>
              <w:rPr>
                <w:rFonts w:hint="eastAsia" w:ascii="宋体" w:hAnsi="宋体"/>
                <w:sz w:val="20"/>
                <w:szCs w:val="20"/>
              </w:rPr>
              <w:t>正常使用条件下，</w:t>
            </w:r>
            <w:r>
              <w:rPr>
                <w:rFonts w:hint="eastAsia" w:ascii="宋体" w:hAnsi="宋体"/>
                <w:sz w:val="20"/>
                <w:szCs w:val="20"/>
                <w:lang w:eastAsia="zh-CN"/>
              </w:rPr>
              <w:t>中标方</w:t>
            </w:r>
            <w:r>
              <w:rPr>
                <w:rFonts w:hint="eastAsia" w:ascii="宋体" w:hAnsi="宋体"/>
                <w:sz w:val="20"/>
                <w:szCs w:val="20"/>
              </w:rPr>
              <w:t>保证模具设计寿命。在终验收合格后五年质保期内，</w:t>
            </w:r>
            <w:r>
              <w:rPr>
                <w:rFonts w:hint="eastAsia" w:ascii="宋体" w:hAnsi="宋体"/>
                <w:sz w:val="20"/>
                <w:szCs w:val="20"/>
                <w:lang w:eastAsia="zh-CN"/>
              </w:rPr>
              <w:t>中标方</w:t>
            </w:r>
            <w:r>
              <w:rPr>
                <w:rFonts w:hint="eastAsia" w:ascii="宋体" w:hAnsi="宋体"/>
                <w:sz w:val="20"/>
                <w:szCs w:val="20"/>
              </w:rPr>
              <w:t>负责对模具重大质量问题进行服务，包括派技术人员及技师到</w:t>
            </w:r>
            <w:r>
              <w:rPr>
                <w:rFonts w:hint="eastAsia" w:ascii="宋体" w:hAnsi="宋体"/>
                <w:sz w:val="20"/>
                <w:szCs w:val="20"/>
                <w:lang w:eastAsia="zh-CN"/>
              </w:rPr>
              <w:t>邀标方</w:t>
            </w:r>
            <w:r>
              <w:rPr>
                <w:rFonts w:hint="eastAsia" w:ascii="宋体" w:hAnsi="宋体"/>
                <w:sz w:val="20"/>
                <w:szCs w:val="20"/>
              </w:rPr>
              <w:t>现场进行服务。（由于</w:t>
            </w:r>
            <w:r>
              <w:rPr>
                <w:rFonts w:hint="eastAsia" w:ascii="宋体" w:hAnsi="宋体"/>
                <w:sz w:val="20"/>
                <w:szCs w:val="20"/>
                <w:lang w:eastAsia="zh-CN"/>
              </w:rPr>
              <w:t>邀标方</w:t>
            </w:r>
            <w:r>
              <w:rPr>
                <w:rFonts w:hint="eastAsia" w:ascii="宋体" w:hAnsi="宋体"/>
                <w:sz w:val="20"/>
                <w:szCs w:val="20"/>
              </w:rPr>
              <w:t>使用不当造成的质量事故费用由</w:t>
            </w:r>
            <w:r>
              <w:rPr>
                <w:rFonts w:hint="eastAsia" w:ascii="宋体" w:hAnsi="宋体"/>
                <w:sz w:val="20"/>
                <w:szCs w:val="20"/>
                <w:lang w:eastAsia="zh-CN"/>
              </w:rPr>
              <w:t>邀标方</w:t>
            </w:r>
            <w:r>
              <w:rPr>
                <w:rFonts w:hint="eastAsia" w:ascii="宋体" w:hAnsi="宋体"/>
                <w:sz w:val="20"/>
                <w:szCs w:val="20"/>
              </w:rPr>
              <w:t>承担）。</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2.</w:t>
            </w:r>
            <w:r>
              <w:rPr>
                <w:rFonts w:hint="eastAsia" w:ascii="宋体" w:hAnsi="宋体"/>
                <w:sz w:val="20"/>
                <w:szCs w:val="20"/>
                <w:lang w:eastAsia="zh-CN"/>
              </w:rPr>
              <w:t>中标方</w:t>
            </w:r>
            <w:r>
              <w:rPr>
                <w:rFonts w:hint="eastAsia" w:ascii="宋体" w:hAnsi="宋体"/>
                <w:sz w:val="20"/>
                <w:szCs w:val="20"/>
              </w:rPr>
              <w:t>在模具交付之前及模具调试中负责对</w:t>
            </w:r>
            <w:r>
              <w:rPr>
                <w:rFonts w:hint="eastAsia" w:ascii="宋体" w:hAnsi="宋体"/>
                <w:sz w:val="20"/>
                <w:szCs w:val="20"/>
                <w:lang w:eastAsia="zh-CN"/>
              </w:rPr>
              <w:t>邀标方</w:t>
            </w:r>
            <w:r>
              <w:rPr>
                <w:rFonts w:hint="eastAsia" w:ascii="宋体" w:hAnsi="宋体"/>
                <w:sz w:val="20"/>
                <w:szCs w:val="20"/>
              </w:rPr>
              <w:t>技术人员及调整和维修人员进行培训。</w:t>
            </w:r>
          </w:p>
          <w:p>
            <w:pPr>
              <w:keepNext w:val="0"/>
              <w:keepLines w:val="0"/>
              <w:pageBreakBefore w:val="0"/>
              <w:widowControl w:val="0"/>
              <w:kinsoku/>
              <w:wordWrap/>
              <w:overflowPunct/>
              <w:topLinePunct w:val="0"/>
              <w:autoSpaceDE/>
              <w:autoSpaceDN/>
              <w:bidi w:val="0"/>
              <w:adjustRightInd w:val="0"/>
              <w:snapToGrid w:val="0"/>
              <w:spacing w:line="300" w:lineRule="auto"/>
              <w:jc w:val="left"/>
              <w:textAlignment w:val="auto"/>
              <w:rPr>
                <w:rFonts w:hint="eastAsia" w:ascii="宋体" w:hAnsi="宋体"/>
                <w:sz w:val="20"/>
                <w:szCs w:val="20"/>
              </w:rPr>
            </w:pPr>
            <w:r>
              <w:rPr>
                <w:rFonts w:hint="eastAsia" w:ascii="宋体" w:hAnsi="宋体"/>
                <w:sz w:val="20"/>
                <w:szCs w:val="20"/>
              </w:rPr>
              <w:t>3.</w:t>
            </w:r>
            <w:r>
              <w:rPr>
                <w:rFonts w:hint="eastAsia" w:ascii="宋体" w:hAnsi="宋体"/>
                <w:sz w:val="20"/>
                <w:szCs w:val="20"/>
                <w:lang w:eastAsia="zh-CN"/>
              </w:rPr>
              <w:t>中标方</w:t>
            </w:r>
            <w:r>
              <w:rPr>
                <w:rFonts w:hint="eastAsia" w:ascii="宋体" w:hAnsi="宋体"/>
                <w:sz w:val="20"/>
                <w:szCs w:val="20"/>
              </w:rPr>
              <w:t>向</w:t>
            </w:r>
            <w:r>
              <w:rPr>
                <w:rFonts w:hint="eastAsia" w:ascii="宋体" w:hAnsi="宋体"/>
                <w:sz w:val="20"/>
                <w:szCs w:val="20"/>
                <w:lang w:eastAsia="zh-CN"/>
              </w:rPr>
              <w:t>邀标方</w:t>
            </w:r>
            <w:r>
              <w:rPr>
                <w:rFonts w:hint="eastAsia" w:ascii="宋体" w:hAnsi="宋体"/>
                <w:sz w:val="20"/>
                <w:szCs w:val="20"/>
              </w:rPr>
              <w:t>提供实物需要运输时，运输费用由</w:t>
            </w:r>
            <w:r>
              <w:rPr>
                <w:rFonts w:hint="eastAsia" w:ascii="宋体" w:hAnsi="宋体"/>
                <w:sz w:val="20"/>
                <w:szCs w:val="20"/>
                <w:lang w:eastAsia="zh-CN"/>
              </w:rPr>
              <w:t>中标方</w:t>
            </w:r>
            <w:r>
              <w:rPr>
                <w:rFonts w:hint="eastAsia" w:ascii="宋体" w:hAnsi="宋体"/>
                <w:sz w:val="20"/>
                <w:szCs w:val="20"/>
              </w:rPr>
              <w:t>承担。</w:t>
            </w:r>
          </w:p>
        </w:tc>
      </w:tr>
    </w:tbl>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七</w:t>
      </w:r>
      <w:r>
        <w:rPr>
          <w:rFonts w:hint="eastAsia" w:ascii="黑体" w:hAnsi="黑体" w:eastAsia="黑体" w:cs="黑体"/>
          <w:sz w:val="28"/>
          <w:szCs w:val="24"/>
          <w:highlight w:val="none"/>
        </w:rPr>
        <w:t>、招标人</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eastAsia="zh-CN"/>
        </w:rPr>
        <w:t>山东通盛汽车科技有限公司</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八</w:t>
      </w:r>
      <w:r>
        <w:rPr>
          <w:rFonts w:hint="eastAsia" w:ascii="黑体" w:hAnsi="黑体" w:eastAsia="黑体" w:cs="黑体"/>
          <w:sz w:val="28"/>
          <w:szCs w:val="24"/>
          <w:highlight w:val="none"/>
        </w:rPr>
        <w:t>、招标</w:t>
      </w:r>
      <w:r>
        <w:rPr>
          <w:rFonts w:hint="eastAsia" w:ascii="黑体" w:hAnsi="黑体" w:eastAsia="黑体" w:cs="黑体"/>
          <w:sz w:val="28"/>
          <w:szCs w:val="24"/>
          <w:highlight w:val="none"/>
          <w:lang w:eastAsia="zh-CN"/>
        </w:rPr>
        <w:t>人</w:t>
      </w:r>
      <w:r>
        <w:rPr>
          <w:rFonts w:hint="eastAsia" w:ascii="黑体" w:hAnsi="黑体" w:eastAsia="黑体" w:cs="黑体"/>
          <w:sz w:val="28"/>
          <w:szCs w:val="24"/>
          <w:highlight w:val="none"/>
        </w:rPr>
        <w:t>地址</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eastAsia="仿宋_GB2312"/>
          <w:sz w:val="28"/>
          <w:szCs w:val="24"/>
          <w:highlight w:val="none"/>
        </w:rPr>
        <w:t>聊城市</w:t>
      </w:r>
      <w:r>
        <w:rPr>
          <w:rFonts w:hint="eastAsia" w:eastAsia="仿宋_GB2312"/>
          <w:sz w:val="28"/>
          <w:szCs w:val="24"/>
          <w:highlight w:val="none"/>
          <w:lang w:eastAsia="zh-CN"/>
        </w:rPr>
        <w:t>凤凰工业园纬三路</w:t>
      </w:r>
      <w:r>
        <w:rPr>
          <w:rFonts w:hint="eastAsia" w:eastAsia="仿宋_GB2312"/>
          <w:sz w:val="28"/>
          <w:szCs w:val="24"/>
          <w:highlight w:val="none"/>
        </w:rPr>
        <w:t>路6号</w:t>
      </w:r>
    </w:p>
    <w:p>
      <w:pPr>
        <w:pStyle w:val="5"/>
        <w:keepNext w:val="0"/>
        <w:keepLines w:val="0"/>
        <w:pageBreakBefore w:val="0"/>
        <w:widowControl/>
        <w:numPr>
          <w:ilvl w:val="0"/>
          <w:numId w:val="0"/>
        </w:numPr>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rPr>
      </w:pPr>
      <w:r>
        <w:rPr>
          <w:rFonts w:hint="eastAsia" w:ascii="黑体" w:hAnsi="黑体" w:eastAsia="黑体" w:cs="黑体"/>
          <w:sz w:val="28"/>
          <w:szCs w:val="24"/>
          <w:highlight w:val="none"/>
          <w:lang w:eastAsia="zh-CN"/>
        </w:rPr>
        <w:t>九、联</w:t>
      </w:r>
      <w:r>
        <w:rPr>
          <w:rFonts w:hint="eastAsia" w:ascii="黑体" w:hAnsi="黑体" w:eastAsia="黑体" w:cs="黑体"/>
          <w:sz w:val="28"/>
          <w:szCs w:val="24"/>
          <w:highlight w:val="none"/>
        </w:rPr>
        <w:t>系人及联系方式</w:t>
      </w:r>
      <w:r>
        <w:rPr>
          <w:rFonts w:hint="eastAsia" w:eastAsia="仿宋_GB2312"/>
          <w:sz w:val="28"/>
          <w:szCs w:val="24"/>
          <w:highlight w:val="none"/>
        </w:rPr>
        <w:t>：</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default" w:eastAsia="仿宋_GB2312"/>
          <w:sz w:val="28"/>
          <w:szCs w:val="24"/>
          <w:highlight w:val="none"/>
          <w:lang w:val="en-US" w:eastAsia="zh-CN"/>
        </w:rPr>
      </w:pPr>
      <w:r>
        <w:rPr>
          <w:rFonts w:hint="eastAsia" w:eastAsia="仿宋_GB2312"/>
          <w:sz w:val="28"/>
          <w:szCs w:val="24"/>
          <w:highlight w:val="none"/>
        </w:rPr>
        <w:t>招标咨询：</w:t>
      </w:r>
      <w:r>
        <w:rPr>
          <w:rFonts w:hint="eastAsia" w:eastAsia="仿宋_GB2312"/>
          <w:sz w:val="28"/>
          <w:szCs w:val="24"/>
          <w:highlight w:val="none"/>
          <w:lang w:val="en-US" w:eastAsia="zh-CN"/>
        </w:rPr>
        <w:t xml:space="preserve">        臧经理</w:t>
      </w:r>
      <w:r>
        <w:rPr>
          <w:rFonts w:hint="eastAsia" w:eastAsia="仿宋_GB2312"/>
          <w:sz w:val="28"/>
          <w:szCs w:val="24"/>
          <w:highlight w:val="none"/>
        </w:rPr>
        <w:t xml:space="preserve"> </w:t>
      </w:r>
      <w:r>
        <w:rPr>
          <w:rFonts w:hint="default" w:eastAsia="仿宋_GB2312"/>
          <w:sz w:val="28"/>
          <w:szCs w:val="24"/>
          <w:highlight w:val="none"/>
          <w:lang w:val="en-US"/>
        </w:rPr>
        <w:t xml:space="preserve"> </w:t>
      </w:r>
      <w:r>
        <w:rPr>
          <w:rFonts w:hint="eastAsia" w:eastAsia="仿宋_GB2312"/>
          <w:sz w:val="28"/>
          <w:szCs w:val="24"/>
          <w:highlight w:val="none"/>
        </w:rPr>
        <w:t xml:space="preserve"> 电话：</w:t>
      </w:r>
      <w:r>
        <w:rPr>
          <w:rFonts w:hint="default" w:eastAsia="仿宋_GB2312"/>
          <w:sz w:val="28"/>
          <w:szCs w:val="24"/>
          <w:highlight w:val="none"/>
          <w:lang w:val="en-US" w:eastAsia="zh-CN"/>
        </w:rPr>
        <w:t>19954213940</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val="en-US" w:eastAsia="zh-CN"/>
        </w:rPr>
      </w:pPr>
      <w:r>
        <w:rPr>
          <w:rFonts w:hint="eastAsia" w:eastAsia="仿宋_GB2312"/>
          <w:sz w:val="28"/>
          <w:szCs w:val="24"/>
          <w:highlight w:val="none"/>
          <w:lang w:val="en-US" w:eastAsia="zh-CN"/>
        </w:rPr>
        <w:t>项目相关要求</w:t>
      </w:r>
      <w:r>
        <w:rPr>
          <w:rFonts w:hint="eastAsia" w:eastAsia="仿宋_GB2312"/>
          <w:sz w:val="28"/>
          <w:szCs w:val="24"/>
          <w:highlight w:val="none"/>
        </w:rPr>
        <w:t>咨询：</w:t>
      </w:r>
      <w:r>
        <w:rPr>
          <w:rFonts w:hint="eastAsia" w:eastAsia="仿宋_GB2312"/>
          <w:sz w:val="28"/>
          <w:szCs w:val="24"/>
          <w:highlight w:val="none"/>
          <w:lang w:eastAsia="zh-CN"/>
        </w:rPr>
        <w:t>王</w:t>
      </w:r>
      <w:r>
        <w:rPr>
          <w:rFonts w:hint="default" w:eastAsia="仿宋_GB2312"/>
          <w:sz w:val="28"/>
          <w:szCs w:val="24"/>
          <w:highlight w:val="none"/>
          <w:lang w:val="en-US" w:eastAsia="zh-CN"/>
        </w:rPr>
        <w:t xml:space="preserve">  </w:t>
      </w:r>
      <w:r>
        <w:rPr>
          <w:rFonts w:hint="eastAsia" w:eastAsia="仿宋_GB2312"/>
          <w:sz w:val="28"/>
          <w:szCs w:val="24"/>
          <w:highlight w:val="none"/>
          <w:lang w:eastAsia="zh-CN"/>
        </w:rPr>
        <w:t>工</w:t>
      </w:r>
      <w:r>
        <w:rPr>
          <w:rFonts w:hint="eastAsia" w:eastAsia="仿宋_GB2312"/>
          <w:sz w:val="28"/>
          <w:szCs w:val="24"/>
          <w:highlight w:val="none"/>
        </w:rPr>
        <w:t xml:space="preserve">  </w:t>
      </w:r>
      <w:r>
        <w:rPr>
          <w:rFonts w:hint="eastAsia" w:eastAsia="仿宋_GB2312"/>
          <w:sz w:val="28"/>
          <w:szCs w:val="24"/>
          <w:highlight w:val="none"/>
          <w:lang w:val="en-US" w:eastAsia="zh-CN"/>
        </w:rPr>
        <w:t xml:space="preserve"> </w:t>
      </w:r>
      <w:r>
        <w:rPr>
          <w:rFonts w:hint="eastAsia" w:eastAsia="仿宋_GB2312"/>
          <w:sz w:val="28"/>
          <w:szCs w:val="24"/>
          <w:highlight w:val="none"/>
        </w:rPr>
        <w:t>电话：</w:t>
      </w:r>
      <w:r>
        <w:rPr>
          <w:rFonts w:hint="default" w:eastAsia="仿宋_GB2312"/>
          <w:sz w:val="28"/>
          <w:szCs w:val="24"/>
          <w:highlight w:val="none"/>
          <w:lang w:val="en-US" w:eastAsia="zh-CN"/>
        </w:rPr>
        <w:t>15275676810</w:t>
      </w:r>
      <w:r>
        <w:rPr>
          <w:rFonts w:hint="eastAsia" w:eastAsia="仿宋_GB2312"/>
          <w:sz w:val="28"/>
          <w:szCs w:val="24"/>
          <w:highlight w:val="none"/>
          <w:lang w:val="en-US" w:eastAsia="zh-CN"/>
        </w:rPr>
        <w:t xml:space="preserve">    </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lang w:val="en-US" w:eastAsia="zh-CN"/>
        </w:rPr>
      </w:pPr>
      <w:r>
        <w:rPr>
          <w:rFonts w:hint="eastAsia" w:ascii="黑体" w:hAnsi="黑体" w:eastAsia="黑体" w:cs="黑体"/>
          <w:sz w:val="28"/>
          <w:szCs w:val="24"/>
          <w:highlight w:val="none"/>
          <w:lang w:val="en-US" w:eastAsia="zh-CN"/>
        </w:rPr>
        <w:t>十、报名材料</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eastAsia="仿宋_GB2312"/>
          <w:sz w:val="28"/>
          <w:szCs w:val="24"/>
          <w:highlight w:val="none"/>
          <w:lang w:eastAsia="zh-CN"/>
        </w:rPr>
      </w:pPr>
      <w:r>
        <w:rPr>
          <w:rFonts w:hint="eastAsia" w:eastAsia="仿宋_GB2312"/>
          <w:sz w:val="28"/>
          <w:szCs w:val="24"/>
          <w:highlight w:val="none"/>
          <w:lang w:val="en-US" w:eastAsia="zh-CN"/>
        </w:rPr>
        <w:t>报名材料</w:t>
      </w:r>
      <w:r>
        <w:rPr>
          <w:rFonts w:hint="eastAsia" w:eastAsia="仿宋_GB2312"/>
          <w:sz w:val="28"/>
          <w:szCs w:val="24"/>
          <w:highlight w:val="none"/>
        </w:rPr>
        <w:t>需发至邮箱</w:t>
      </w:r>
      <w:r>
        <w:rPr>
          <w:rFonts w:hint="default" w:ascii="宋体" w:hAnsi="宋体"/>
          <w:color w:val="C00000"/>
          <w:szCs w:val="21"/>
          <w:highlight w:val="yellow"/>
          <w:lang w:val="en-US" w:eastAsia="zh-CN"/>
        </w:rPr>
        <w:t>tsfscwlzb@zhongtong.com</w:t>
      </w:r>
      <w:r>
        <w:rPr>
          <w:rFonts w:hint="eastAsia" w:eastAsia="仿宋_GB2312"/>
          <w:sz w:val="28"/>
          <w:szCs w:val="24"/>
          <w:highlight w:val="none"/>
        </w:rPr>
        <w:t>，截止期前报名有效。</w:t>
      </w:r>
    </w:p>
    <w:p>
      <w:pPr>
        <w:pStyle w:val="5"/>
        <w:keepNext w:val="0"/>
        <w:keepLines w:val="0"/>
        <w:pageBreakBefore w:val="0"/>
        <w:widowControl/>
        <w:kinsoku/>
        <w:wordWrap/>
        <w:overflowPunct/>
        <w:topLinePunct w:val="0"/>
        <w:autoSpaceDE/>
        <w:autoSpaceDN/>
        <w:bidi w:val="0"/>
        <w:adjustRightInd w:val="0"/>
        <w:snapToGrid w:val="0"/>
        <w:spacing w:before="75" w:beforeAutospacing="0" w:after="75" w:afterAutospacing="0" w:line="300" w:lineRule="auto"/>
        <w:ind w:firstLine="560" w:firstLineChars="200"/>
        <w:textAlignment w:val="auto"/>
        <w:rPr>
          <w:rFonts w:hint="eastAsia" w:ascii="黑体" w:hAnsi="黑体" w:eastAsia="黑体" w:cs="黑体"/>
          <w:sz w:val="28"/>
          <w:szCs w:val="24"/>
          <w:highlight w:val="none"/>
          <w:lang w:eastAsia="zh-CN"/>
        </w:rPr>
      </w:pPr>
      <w:r>
        <w:rPr>
          <w:rFonts w:hint="eastAsia" w:ascii="黑体" w:hAnsi="黑体" w:eastAsia="黑体" w:cs="黑体"/>
          <w:sz w:val="28"/>
          <w:szCs w:val="24"/>
          <w:highlight w:val="none"/>
          <w:lang w:val="en-US" w:eastAsia="zh-CN"/>
        </w:rPr>
        <w:t>十、详见招标文件</w:t>
      </w:r>
    </w:p>
    <w:p>
      <w:pPr>
        <w:pStyle w:val="5"/>
        <w:keepNext w:val="0"/>
        <w:keepLines w:val="0"/>
        <w:pageBreakBefore w:val="0"/>
        <w:numPr>
          <w:ilvl w:val="0"/>
          <w:numId w:val="0"/>
        </w:numPr>
        <w:kinsoku/>
        <w:wordWrap/>
        <w:overflowPunct/>
        <w:topLinePunct w:val="0"/>
        <w:autoSpaceDE/>
        <w:autoSpaceDN/>
        <w:bidi w:val="0"/>
        <w:adjustRightInd w:val="0"/>
        <w:snapToGrid w:val="0"/>
        <w:spacing w:before="75" w:beforeAutospacing="0" w:after="75" w:afterAutospacing="0" w:line="300" w:lineRule="auto"/>
        <w:textAlignment w:val="auto"/>
        <w:rPr>
          <w:rStyle w:val="9"/>
          <w:rFonts w:hint="eastAsia" w:ascii="Arial" w:hAnsi="Arial" w:eastAsia="宋体" w:cs="Arial"/>
          <w:color w:val="000000"/>
          <w:lang w:eastAsia="zh-CN"/>
        </w:rPr>
      </w:pPr>
      <w:r>
        <w:rPr>
          <w:rStyle w:val="9"/>
          <w:rFonts w:hint="eastAsia" w:ascii="Arial" w:hAnsi="Arial" w:eastAsia="宋体" w:cs="Arial"/>
          <w:color w:val="000000"/>
          <w:lang w:eastAsia="zh-CN"/>
        </w:rPr>
        <w:object>
          <v:shape id="_x0000_i1025" o:spt="75" type="#_x0000_t75" style="height:42.75pt;width:261pt;" o:ole="t" filled="f" o:preferrelative="t" stroked="f" coordsize="21600,21600">
            <v:path/>
            <v:fill on="f" focussize="0,0"/>
            <v:stroke on="f"/>
            <v:imagedata r:id="rId7" o:title=""/>
            <o:lock v:ext="edit" aspectratio="t"/>
            <w10:wrap type="none"/>
            <w10:anchorlock/>
          </v:shape>
          <o:OLEObject Type="Embed" ProgID="Package" ShapeID="_x0000_i1025" DrawAspect="Content" ObjectID="_1468075725" r:id="rId6">
            <o:LockedField>false</o:LockedField>
          </o:OLEObject>
        </w:object>
      </w:r>
    </w:p>
    <w:sectPr>
      <w:headerReference r:id="rId3" w:type="default"/>
      <w:footerReference r:id="rId4" w:type="default"/>
      <w:pgSz w:w="11906" w:h="16838"/>
      <w:pgMar w:top="1134" w:right="991" w:bottom="1440"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w:pict>
        <v:shape id="PowerPlusWaterMarkObject6822407" o:spid="_x0000_s2062" o:spt="136" type="#_x0000_t136" style="position:absolute;left:0pt;margin-left:435.1pt;margin-top:451.25pt;height:14pt;width:118pt;mso-position-horizontal-relative:margin;mso-position-vertical-relative:margin;rotation:-2949120f;z-index:-251642880;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6401367" o:spid="_x0000_s2061" o:spt="136" type="#_x0000_t136" style="position:absolute;left:0pt;margin-left:330.45pt;margin-top:555.9pt;height:14pt;width:118pt;mso-position-horizontal-relative:margin;mso-position-vertical-relative:margin;rotation:-2949120f;z-index:-251643904;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5506028" o:spid="_x0000_s2060" o:spt="136" type="#_x0000_t136" style="position:absolute;left:0pt;margin-left:225.75pt;margin-top:660.55pt;height:14pt;width:118pt;mso-position-horizontal-relative:margin;mso-position-vertical-relative:margin;rotation:-2949120f;z-index:-251644928;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5101609" o:spid="_x0000_s2059" o:spt="136" type="#_x0000_t136" style="position:absolute;left:0pt;margin-left:121.1pt;margin-top:765.2pt;height:14pt;width:118pt;mso-position-horizontal-relative:margin;mso-position-vertical-relative:margin;rotation:-2949120f;z-index:-251645952;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4858697" o:spid="_x0000_s2058" o:spt="136" type="#_x0000_t136" style="position:absolute;left:0pt;margin-left:435.1pt;margin-top:91.95pt;height:14pt;width:118pt;mso-position-horizontal-relative:margin;mso-position-vertical-relative:margin;rotation:-2949120f;z-index:-251646976;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4778418" o:spid="_x0000_s2057" o:spt="136" type="#_x0000_t136" style="position:absolute;left:0pt;margin-left:330.45pt;margin-top:196.6pt;height:14pt;width:118pt;mso-position-horizontal-relative:margin;mso-position-vertical-relative:margin;rotation:-2949120f;z-index:-251648000;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4348999" o:spid="_x0000_s2056" o:spt="136" type="#_x0000_t136" style="position:absolute;left:0pt;margin-left:225.75pt;margin-top:301.25pt;height:14pt;width:118pt;mso-position-horizontal-relative:margin;mso-position-vertical-relative:margin;rotation:-2949120f;z-index:-251649024;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3721198" o:spid="_x0000_s2055" o:spt="136" type="#_x0000_t136" style="position:absolute;left:0pt;margin-left:121.1pt;margin-top:405.9pt;height:14pt;width:118pt;mso-position-horizontal-relative:margin;mso-position-vertical-relative:margin;rotation:-2949120f;z-index:-251650048;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3274059" o:spid="_x0000_s2054" o:spt="136" type="#_x0000_t136" style="position:absolute;left:0pt;margin-left:16.45pt;margin-top:510.55pt;height:14pt;width:118pt;mso-position-horizontal-relative:margin;mso-position-vertical-relative:margin;rotation:-2949120f;z-index:-251651072;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3189330" o:spid="_x0000_s2053" o:spt="136" type="#_x0000_t136" style="position:absolute;left:0pt;margin-left:-88.2pt;margin-top:615.2pt;height:14pt;width:118pt;mso-position-horizontal-relative:margin;mso-position-vertical-relative:margin;rotation:-2949120f;z-index:-251652096;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2932368" o:spid="_x0000_s2052" o:spt="136" type="#_x0000_t136" style="position:absolute;left:0pt;margin-left:225.75pt;margin-top:-58.05pt;height:14pt;width:118pt;mso-position-horizontal-relative:margin;mso-position-vertical-relative:margin;rotation:-2949120f;z-index:-251653120;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2013404" o:spid="_x0000_s2051" o:spt="136" type="#_x0000_t136" style="position:absolute;left:0pt;margin-left:121.1pt;margin-top:46.6pt;height:14pt;width:118pt;mso-position-horizontal-relative:margin;mso-position-vertical-relative:margin;rotation:-2949120f;z-index:-251654144;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1257185" o:spid="_x0000_s2050" o:spt="136" type="#_x0000_t136" style="position:absolute;left:0pt;margin-left:16.45pt;margin-top:151.25pt;height:14pt;width:118pt;mso-position-horizontal-relative:margin;mso-position-vertical-relative:margin;rotation:-2949120f;z-index:-251655168;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r>
      <w:rPr>
        <w:sz w:val="18"/>
      </w:rPr>
      <w:pict>
        <v:shape id="PowerPlusWaterMarkObject502675" o:spid="_x0000_s2049" o:spt="136" type="#_x0000_t136" style="position:absolute;left:0pt;margin-left:-88.2pt;margin-top:255.9pt;height:14pt;width:118pt;mso-position-horizontal-relative:margin;mso-position-vertical-relative:margin;rotation:-2949120f;z-index:-251656192;mso-width-relative:page;mso-height-relative:page;" fillcolor="#C0C0C0" filled="t" stroked="f" coordsize="21600,21600" adj="10800">
          <v:path/>
          <v:fill on="t" opacity="32768f" focussize="0,0"/>
          <v:stroke on="f"/>
          <v:imagedata o:title=""/>
          <o:lock v:ext="edit" aspectratio="t"/>
          <v:textpath on="t" fitpath="t" trim="t" xscale="f" string="王健3035902024-12-06" style="font-family:SongTi;font-size:14pt;v-same-letter-heights:f;v-text-align:cente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ZjNmUxMmQ5NTk0ZTE5Y2UxZTZiZTA3MTlhNmVmNjMifQ=="/>
    <w:docVar w:name="KSO_WPS_MARK_KEY" w:val="bacb4c9e-d8dc-413b-ada3-76fce83bf0c0"/>
  </w:docVars>
  <w:rsids>
    <w:rsidRoot w:val="0001039C"/>
    <w:rsid w:val="0001039C"/>
    <w:rsid w:val="000204B4"/>
    <w:rsid w:val="000C35DF"/>
    <w:rsid w:val="000D0E16"/>
    <w:rsid w:val="000D17F1"/>
    <w:rsid w:val="000D691D"/>
    <w:rsid w:val="00144286"/>
    <w:rsid w:val="0015362F"/>
    <w:rsid w:val="001F102D"/>
    <w:rsid w:val="002B4302"/>
    <w:rsid w:val="00344262"/>
    <w:rsid w:val="00364CEC"/>
    <w:rsid w:val="00372B68"/>
    <w:rsid w:val="003A5A46"/>
    <w:rsid w:val="00401101"/>
    <w:rsid w:val="00404535"/>
    <w:rsid w:val="004A0920"/>
    <w:rsid w:val="004C332A"/>
    <w:rsid w:val="004C6530"/>
    <w:rsid w:val="004D4A76"/>
    <w:rsid w:val="0054169F"/>
    <w:rsid w:val="00554261"/>
    <w:rsid w:val="005753EE"/>
    <w:rsid w:val="005B63FD"/>
    <w:rsid w:val="005D0CFD"/>
    <w:rsid w:val="0061489B"/>
    <w:rsid w:val="00615791"/>
    <w:rsid w:val="006456F6"/>
    <w:rsid w:val="006838CF"/>
    <w:rsid w:val="006C29A3"/>
    <w:rsid w:val="006D0A91"/>
    <w:rsid w:val="006F7E48"/>
    <w:rsid w:val="00711DA2"/>
    <w:rsid w:val="0071592F"/>
    <w:rsid w:val="007707C0"/>
    <w:rsid w:val="00783FCB"/>
    <w:rsid w:val="007A3683"/>
    <w:rsid w:val="007A5D25"/>
    <w:rsid w:val="0080513C"/>
    <w:rsid w:val="00865718"/>
    <w:rsid w:val="0089248A"/>
    <w:rsid w:val="008A379B"/>
    <w:rsid w:val="008F32AB"/>
    <w:rsid w:val="009F6E08"/>
    <w:rsid w:val="00A57EF6"/>
    <w:rsid w:val="00AB1916"/>
    <w:rsid w:val="00AE1BE4"/>
    <w:rsid w:val="00B159C5"/>
    <w:rsid w:val="00B506A2"/>
    <w:rsid w:val="00C16428"/>
    <w:rsid w:val="00CE5D96"/>
    <w:rsid w:val="00CF05AD"/>
    <w:rsid w:val="00CF1706"/>
    <w:rsid w:val="00CF5D68"/>
    <w:rsid w:val="00D079BC"/>
    <w:rsid w:val="00D24F90"/>
    <w:rsid w:val="00D51AF1"/>
    <w:rsid w:val="00D6489C"/>
    <w:rsid w:val="00E361CC"/>
    <w:rsid w:val="00E70508"/>
    <w:rsid w:val="00EA1C6E"/>
    <w:rsid w:val="00F22667"/>
    <w:rsid w:val="00F440DD"/>
    <w:rsid w:val="00FD219F"/>
    <w:rsid w:val="00FD3FBD"/>
    <w:rsid w:val="00FF5509"/>
    <w:rsid w:val="017233BF"/>
    <w:rsid w:val="019A0C52"/>
    <w:rsid w:val="01FC01DB"/>
    <w:rsid w:val="024E4271"/>
    <w:rsid w:val="027D0613"/>
    <w:rsid w:val="02E62E30"/>
    <w:rsid w:val="04DA184C"/>
    <w:rsid w:val="05894040"/>
    <w:rsid w:val="05C50C80"/>
    <w:rsid w:val="070873AA"/>
    <w:rsid w:val="08A231D3"/>
    <w:rsid w:val="098135D4"/>
    <w:rsid w:val="098B0432"/>
    <w:rsid w:val="0AA1416E"/>
    <w:rsid w:val="0AF83222"/>
    <w:rsid w:val="0C0B67D4"/>
    <w:rsid w:val="0DFE0B08"/>
    <w:rsid w:val="0F0B274E"/>
    <w:rsid w:val="0F5534D9"/>
    <w:rsid w:val="0F897B89"/>
    <w:rsid w:val="0FC8644F"/>
    <w:rsid w:val="10E31CFC"/>
    <w:rsid w:val="112B06EC"/>
    <w:rsid w:val="11EE3551"/>
    <w:rsid w:val="12684BFE"/>
    <w:rsid w:val="134305B2"/>
    <w:rsid w:val="14133D11"/>
    <w:rsid w:val="16B72867"/>
    <w:rsid w:val="16F41D80"/>
    <w:rsid w:val="17C23271"/>
    <w:rsid w:val="17CF4FEB"/>
    <w:rsid w:val="17E35DC6"/>
    <w:rsid w:val="1B231E97"/>
    <w:rsid w:val="1CBB0ED3"/>
    <w:rsid w:val="1EEC63B4"/>
    <w:rsid w:val="202C1D27"/>
    <w:rsid w:val="21E841A5"/>
    <w:rsid w:val="228D7827"/>
    <w:rsid w:val="229C0B63"/>
    <w:rsid w:val="232C638A"/>
    <w:rsid w:val="23945A32"/>
    <w:rsid w:val="25E2388A"/>
    <w:rsid w:val="25FC1EBA"/>
    <w:rsid w:val="28805E9D"/>
    <w:rsid w:val="2976035F"/>
    <w:rsid w:val="29816EBE"/>
    <w:rsid w:val="2B452A88"/>
    <w:rsid w:val="2C2139E5"/>
    <w:rsid w:val="2D90585D"/>
    <w:rsid w:val="2F4A01B9"/>
    <w:rsid w:val="31185B8A"/>
    <w:rsid w:val="323B5CA2"/>
    <w:rsid w:val="32543CB2"/>
    <w:rsid w:val="32D33B45"/>
    <w:rsid w:val="34206A1B"/>
    <w:rsid w:val="343F3922"/>
    <w:rsid w:val="344C4197"/>
    <w:rsid w:val="34BE1DF8"/>
    <w:rsid w:val="359027A9"/>
    <w:rsid w:val="37A10C9D"/>
    <w:rsid w:val="37E82DD6"/>
    <w:rsid w:val="37EB5AF4"/>
    <w:rsid w:val="38EC419A"/>
    <w:rsid w:val="39F22DDD"/>
    <w:rsid w:val="3A3B5775"/>
    <w:rsid w:val="3C2B1FB3"/>
    <w:rsid w:val="3EE17479"/>
    <w:rsid w:val="404B0E14"/>
    <w:rsid w:val="4114428E"/>
    <w:rsid w:val="41281E37"/>
    <w:rsid w:val="41456B3D"/>
    <w:rsid w:val="417C29E1"/>
    <w:rsid w:val="41D16B08"/>
    <w:rsid w:val="433D7DDC"/>
    <w:rsid w:val="46C329DE"/>
    <w:rsid w:val="46EF3A05"/>
    <w:rsid w:val="473D47BE"/>
    <w:rsid w:val="478657BA"/>
    <w:rsid w:val="484D0086"/>
    <w:rsid w:val="49753D38"/>
    <w:rsid w:val="4A527BD5"/>
    <w:rsid w:val="4AB22E81"/>
    <w:rsid w:val="4ABC2614"/>
    <w:rsid w:val="4CD17451"/>
    <w:rsid w:val="4E6F6F65"/>
    <w:rsid w:val="4F990C32"/>
    <w:rsid w:val="50680152"/>
    <w:rsid w:val="507B7E86"/>
    <w:rsid w:val="50B61CCD"/>
    <w:rsid w:val="510559A1"/>
    <w:rsid w:val="51D11D27"/>
    <w:rsid w:val="51DC7E20"/>
    <w:rsid w:val="520D5BDB"/>
    <w:rsid w:val="524065F2"/>
    <w:rsid w:val="529C2335"/>
    <w:rsid w:val="532D172E"/>
    <w:rsid w:val="585D142A"/>
    <w:rsid w:val="585F3609"/>
    <w:rsid w:val="587475AC"/>
    <w:rsid w:val="5AD76AAD"/>
    <w:rsid w:val="5B174492"/>
    <w:rsid w:val="5B452937"/>
    <w:rsid w:val="5D4C6AEE"/>
    <w:rsid w:val="5D9A7BC8"/>
    <w:rsid w:val="60433DF0"/>
    <w:rsid w:val="618E2DCF"/>
    <w:rsid w:val="61DF7CD0"/>
    <w:rsid w:val="62454CAF"/>
    <w:rsid w:val="633D63F8"/>
    <w:rsid w:val="63564CBF"/>
    <w:rsid w:val="64114CCF"/>
    <w:rsid w:val="64A22A14"/>
    <w:rsid w:val="66485D03"/>
    <w:rsid w:val="6787300D"/>
    <w:rsid w:val="67C03DCB"/>
    <w:rsid w:val="69457444"/>
    <w:rsid w:val="69686174"/>
    <w:rsid w:val="698D01CC"/>
    <w:rsid w:val="6A6815D7"/>
    <w:rsid w:val="6A7E0847"/>
    <w:rsid w:val="702B05FF"/>
    <w:rsid w:val="70AA1B5A"/>
    <w:rsid w:val="70AB487B"/>
    <w:rsid w:val="715F63F2"/>
    <w:rsid w:val="729E7174"/>
    <w:rsid w:val="72AF3DF3"/>
    <w:rsid w:val="76C61719"/>
    <w:rsid w:val="787506E6"/>
    <w:rsid w:val="78AF2D43"/>
    <w:rsid w:val="7AE0612F"/>
    <w:rsid w:val="7CA57EB5"/>
    <w:rsid w:val="7CC924C3"/>
    <w:rsid w:val="7D60199E"/>
    <w:rsid w:val="7D774914"/>
    <w:rsid w:val="7FCE62F0"/>
    <w:rsid w:val="FD5E5BC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3">
    <w:name w:val="footer"/>
    <w:basedOn w:val="1"/>
    <w:link w:val="12"/>
    <w:unhideWhenUsed/>
    <w:qFormat/>
    <w:uiPriority w:val="99"/>
    <w:pPr>
      <w:tabs>
        <w:tab w:val="center" w:pos="4153"/>
        <w:tab w:val="right" w:pos="8306"/>
      </w:tabs>
      <w:snapToGrid w:val="0"/>
      <w:jc w:val="left"/>
    </w:pPr>
    <w:rPr>
      <w:sz w:val="18"/>
      <w:szCs w:val="18"/>
    </w:rPr>
  </w:style>
  <w:style w:type="paragraph" w:styleId="4">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7">
    <w:name w:val="Table Grid"/>
    <w:basedOn w:val="6"/>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22"/>
    <w:rPr>
      <w:b/>
      <w:bCs/>
    </w:rPr>
  </w:style>
  <w:style w:type="character" w:styleId="10">
    <w:name w:val="Hyperlink"/>
    <w:basedOn w:val="8"/>
    <w:semiHidden/>
    <w:unhideWhenUsed/>
    <w:qFormat/>
    <w:uiPriority w:val="99"/>
    <w:rPr>
      <w:color w:val="0000FF"/>
      <w:u w:val="single"/>
    </w:rPr>
  </w:style>
  <w:style w:type="character" w:customStyle="1" w:styleId="11">
    <w:name w:val="页眉 Char"/>
    <w:basedOn w:val="8"/>
    <w:link w:val="4"/>
    <w:qFormat/>
    <w:uiPriority w:val="99"/>
    <w:rPr>
      <w:sz w:val="18"/>
      <w:szCs w:val="18"/>
    </w:rPr>
  </w:style>
  <w:style w:type="character" w:customStyle="1" w:styleId="12">
    <w:name w:val="页脚 Char"/>
    <w:basedOn w:val="8"/>
    <w:link w:val="3"/>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62"/>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Info spid="_x0000_s204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736</Words>
  <Characters>791</Characters>
  <Lines>2</Lines>
  <Paragraphs>1</Paragraphs>
  <TotalTime>2</TotalTime>
  <ScaleCrop>false</ScaleCrop>
  <LinksUpToDate>false</LinksUpToDate>
  <CharactersWithSpaces>801</CharactersWithSpaces>
  <Application>WPS Office_11.8.2.10170_F1E327BC-269C-435d-A152-05C5408002CA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2021-01-30T14:12:00Z</dcterms:created>
  <dc:creator>Windows 用户</dc:creator>
  <cp:lastModifiedBy>root</cp:lastModifiedBy>
  <dcterms:modified xsi:type="dcterms:W3CDTF">2024-12-06T08:39:17Z</dcterms:modified>
  <cp:revision>54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2052-11.8.2.10170</vt:lpwstr>
  </property>
  <property fmtid="{D5CDD505-2E9C-101B-9397-08002B2CF9AE}" pid="3" name="ICV">
    <vt:lpwstr>124BD45A005349A393C9D8B111EC7282</vt:lpwstr>
  </property>
</Properties>
</file>