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BE5F94E">
      <w:pPr>
        <w:jc w:val="center"/>
        <w:rPr>
          <w:rFonts w:ascii="方正小标宋简体" w:hAnsi="宋体" w:eastAsia="方正小标宋简体"/>
          <w:b/>
          <w:bCs/>
          <w:sz w:val="52"/>
          <w:szCs w:val="52"/>
        </w:rPr>
      </w:pPr>
    </w:p>
    <w:p w14:paraId="12297BCF">
      <w:pPr>
        <w:jc w:val="center"/>
        <w:rPr>
          <w:rFonts w:ascii="方正小标宋简体" w:hAnsi="宋体" w:eastAsia="方正小标宋简体"/>
          <w:b/>
          <w:bCs/>
          <w:sz w:val="56"/>
          <w:szCs w:val="56"/>
        </w:rPr>
      </w:pPr>
      <w:r>
        <w:rPr>
          <w:rFonts w:hint="eastAsia" w:ascii="方正小标宋简体" w:hAnsi="宋体" w:eastAsia="方正小标宋简体"/>
          <w:b/>
          <w:bCs/>
          <w:sz w:val="56"/>
          <w:szCs w:val="56"/>
        </w:rPr>
        <w:t>2024年班组长集中培训项目</w:t>
      </w:r>
    </w:p>
    <w:p w14:paraId="4FBD9462">
      <w:pPr>
        <w:rPr>
          <w:sz w:val="28"/>
          <w:szCs w:val="28"/>
        </w:rPr>
      </w:pPr>
    </w:p>
    <w:p w14:paraId="0E8A4488">
      <w:pPr>
        <w:rPr>
          <w:sz w:val="28"/>
          <w:szCs w:val="28"/>
        </w:rPr>
      </w:pPr>
    </w:p>
    <w:p w14:paraId="438198B7"/>
    <w:p w14:paraId="59FD5AB1">
      <w:pPr>
        <w:jc w:val="center"/>
        <w:rPr>
          <w:rFonts w:ascii="黑体" w:hAnsi="宋体" w:eastAsia="黑体"/>
          <w:sz w:val="84"/>
          <w:szCs w:val="84"/>
        </w:rPr>
      </w:pPr>
      <w:r>
        <w:rPr>
          <w:rFonts w:hint="eastAsia" w:ascii="黑体" w:hAnsi="宋体" w:eastAsia="黑体"/>
          <w:sz w:val="84"/>
          <w:szCs w:val="84"/>
        </w:rPr>
        <w:t>招</w:t>
      </w:r>
    </w:p>
    <w:p w14:paraId="19B37E16">
      <w:pPr>
        <w:jc w:val="center"/>
        <w:rPr>
          <w:rFonts w:ascii="黑体" w:hAnsi="宋体" w:eastAsia="黑体"/>
          <w:sz w:val="84"/>
          <w:szCs w:val="84"/>
        </w:rPr>
      </w:pPr>
      <w:r>
        <w:rPr>
          <w:rFonts w:hint="eastAsia" w:ascii="黑体" w:hAnsi="宋体" w:eastAsia="黑体"/>
          <w:sz w:val="84"/>
          <w:szCs w:val="84"/>
        </w:rPr>
        <w:t>标</w:t>
      </w:r>
    </w:p>
    <w:p w14:paraId="4CC7B20A">
      <w:pPr>
        <w:jc w:val="center"/>
        <w:rPr>
          <w:rFonts w:ascii="黑体" w:hAnsi="宋体" w:eastAsia="黑体"/>
          <w:sz w:val="84"/>
          <w:szCs w:val="84"/>
        </w:rPr>
      </w:pPr>
      <w:r>
        <w:rPr>
          <w:rFonts w:hint="eastAsia" w:ascii="黑体" w:hAnsi="宋体" w:eastAsia="黑体"/>
          <w:sz w:val="84"/>
          <w:szCs w:val="84"/>
        </w:rPr>
        <w:t>文</w:t>
      </w:r>
    </w:p>
    <w:p w14:paraId="5DE32DAE">
      <w:pPr>
        <w:jc w:val="center"/>
        <w:rPr>
          <w:rFonts w:ascii="黑体" w:hAnsi="黑体" w:eastAsia="黑体"/>
          <w:sz w:val="96"/>
        </w:rPr>
      </w:pPr>
      <w:r>
        <w:rPr>
          <w:rFonts w:hint="eastAsia" w:ascii="黑体" w:hAnsi="宋体" w:eastAsia="黑体"/>
          <w:sz w:val="84"/>
          <w:szCs w:val="84"/>
        </w:rPr>
        <w:t>件</w:t>
      </w:r>
    </w:p>
    <w:p w14:paraId="348F4CD7">
      <w:pPr>
        <w:jc w:val="center"/>
        <w:rPr>
          <w:rFonts w:ascii="黑体" w:hAnsi="黑体" w:eastAsia="黑体"/>
          <w:b/>
          <w:sz w:val="96"/>
        </w:rPr>
      </w:pPr>
    </w:p>
    <w:p w14:paraId="7A1EED98">
      <w:pPr>
        <w:rPr>
          <w:rFonts w:ascii="黑体" w:hAnsi="黑体" w:eastAsia="黑体"/>
          <w:b/>
          <w:sz w:val="32"/>
          <w:szCs w:val="32"/>
        </w:rPr>
      </w:pPr>
    </w:p>
    <w:p w14:paraId="26B90A06">
      <w:pPr>
        <w:pStyle w:val="2"/>
        <w:rPr>
          <w:rFonts w:ascii="黑体" w:hAnsi="黑体" w:eastAsia="黑体"/>
          <w:b/>
          <w:sz w:val="32"/>
          <w:szCs w:val="32"/>
        </w:rPr>
      </w:pPr>
    </w:p>
    <w:p w14:paraId="38DBA8B2">
      <w:pPr>
        <w:pStyle w:val="2"/>
        <w:rPr>
          <w:rFonts w:ascii="黑体" w:hAnsi="黑体" w:eastAsia="黑体"/>
          <w:b/>
          <w:sz w:val="32"/>
          <w:szCs w:val="32"/>
        </w:rPr>
      </w:pPr>
      <w:r>
        <w:rPr>
          <w:rFonts w:ascii="黑体" w:hAnsi="黑体" w:eastAsia="黑体"/>
          <w:b/>
          <w:sz w:val="32"/>
          <w:szCs w:val="32"/>
        </w:rPr>
        <w:br w:type="textWrapping"/>
      </w:r>
    </w:p>
    <w:p w14:paraId="22EAAC94">
      <w:pPr>
        <w:rPr>
          <w:rFonts w:ascii="黑体" w:hAnsi="黑体" w:eastAsia="黑体"/>
          <w:b/>
          <w:sz w:val="32"/>
          <w:szCs w:val="32"/>
        </w:rPr>
      </w:pPr>
    </w:p>
    <w:p w14:paraId="1A74705B">
      <w:pPr>
        <w:jc w:val="center"/>
        <w:rPr>
          <w:rFonts w:ascii="宋体" w:hAnsi="宋体"/>
          <w:sz w:val="28"/>
          <w:szCs w:val="28"/>
        </w:rPr>
      </w:pPr>
      <w:r>
        <w:rPr>
          <w:rFonts w:hint="eastAsia" w:ascii="宋体" w:hAnsi="宋体"/>
          <w:sz w:val="28"/>
          <w:szCs w:val="28"/>
        </w:rPr>
        <w:t>招标人：中国重汽集团济南动力有限公司</w:t>
      </w:r>
    </w:p>
    <w:p w14:paraId="1CE1A104">
      <w:pPr>
        <w:jc w:val="center"/>
        <w:rPr>
          <w:rFonts w:ascii="宋体" w:hAnsi="宋体"/>
          <w:sz w:val="28"/>
          <w:szCs w:val="28"/>
        </w:rPr>
      </w:pPr>
      <w:r>
        <w:rPr>
          <w:rFonts w:hint="eastAsia" w:ascii="宋体" w:hAnsi="宋体"/>
          <w:sz w:val="28"/>
          <w:szCs w:val="28"/>
        </w:rPr>
        <w:t>2</w:t>
      </w:r>
      <w:r>
        <w:rPr>
          <w:rFonts w:ascii="宋体" w:hAnsi="宋体"/>
          <w:sz w:val="28"/>
          <w:szCs w:val="28"/>
        </w:rPr>
        <w:t>02</w:t>
      </w:r>
      <w:r>
        <w:rPr>
          <w:rFonts w:hint="eastAsia" w:ascii="宋体" w:hAnsi="宋体"/>
          <w:sz w:val="28"/>
          <w:szCs w:val="28"/>
        </w:rPr>
        <w:t>4年9月</w:t>
      </w:r>
    </w:p>
    <w:p w14:paraId="2B3EFFA8"/>
    <w:p w14:paraId="538021C7">
      <w:pPr>
        <w:jc w:val="center"/>
        <w:rPr>
          <w:rFonts w:ascii="宋体" w:hAnsi="宋体"/>
        </w:rPr>
      </w:pPr>
    </w:p>
    <w:p w14:paraId="503C9135">
      <w:pPr>
        <w:spacing w:line="500" w:lineRule="exact"/>
        <w:jc w:val="center"/>
        <w:rPr>
          <w:rFonts w:ascii="宋体" w:hAnsi="宋体" w:cs="宋体"/>
          <w:b/>
          <w:bCs/>
          <w:sz w:val="44"/>
          <w:szCs w:val="44"/>
        </w:rPr>
      </w:pPr>
    </w:p>
    <w:p w14:paraId="008B84AC">
      <w:pPr>
        <w:spacing w:line="500" w:lineRule="exact"/>
        <w:jc w:val="center"/>
        <w:rPr>
          <w:rFonts w:ascii="宋体" w:hAnsi="宋体" w:cs="宋体"/>
          <w:b/>
          <w:bCs/>
          <w:sz w:val="44"/>
          <w:szCs w:val="44"/>
        </w:rPr>
      </w:pPr>
      <w:r>
        <w:rPr>
          <w:rFonts w:hint="eastAsia" w:ascii="宋体" w:hAnsi="宋体" w:cs="宋体"/>
          <w:b/>
          <w:bCs/>
          <w:sz w:val="44"/>
          <w:szCs w:val="44"/>
        </w:rPr>
        <w:t>目录</w:t>
      </w:r>
    </w:p>
    <w:p w14:paraId="2DE7469B">
      <w:pPr>
        <w:pStyle w:val="2"/>
        <w:rPr>
          <w:rFonts w:ascii="宋体" w:hAnsi="宋体" w:cs="宋体"/>
          <w:b/>
          <w:bCs/>
          <w:sz w:val="30"/>
          <w:szCs w:val="30"/>
        </w:rPr>
      </w:pPr>
    </w:p>
    <w:p w14:paraId="3043D9D7">
      <w:pPr>
        <w:pStyle w:val="2"/>
        <w:rPr>
          <w:rFonts w:ascii="宋体" w:hAnsi="宋体" w:cs="宋体"/>
          <w:b/>
          <w:bCs/>
          <w:sz w:val="30"/>
          <w:szCs w:val="30"/>
        </w:rPr>
      </w:pPr>
    </w:p>
    <w:p w14:paraId="486D0738">
      <w:pPr>
        <w:pStyle w:val="39"/>
        <w:tabs>
          <w:tab w:val="right" w:leader="dot" w:pos="9070"/>
        </w:tabs>
        <w:spacing w:line="500" w:lineRule="exact"/>
        <w:rPr>
          <w:rFonts w:ascii="仿宋_GB2312" w:hAnsi="仿宋_GB2312" w:eastAsia="仿宋_GB2312" w:cs="仿宋_GB2312"/>
          <w:bCs/>
          <w:sz w:val="30"/>
          <w:szCs w:val="30"/>
        </w:rPr>
      </w:pPr>
      <w:r>
        <w:fldChar w:fldCharType="begin"/>
      </w:r>
      <w:r>
        <w:instrText xml:space="preserve"> HYPERLINK \l "_Toc14413" </w:instrText>
      </w:r>
      <w:r>
        <w:fldChar w:fldCharType="separate"/>
      </w:r>
      <w:r>
        <w:rPr>
          <w:rFonts w:hint="eastAsia" w:ascii="仿宋_GB2312" w:hAnsi="仿宋_GB2312" w:eastAsia="仿宋_GB2312" w:cs="仿宋_GB2312"/>
          <w:bCs/>
          <w:sz w:val="30"/>
          <w:szCs w:val="30"/>
        </w:rPr>
        <w:t>一、投标人须知</w:t>
      </w:r>
      <w:r>
        <w:rPr>
          <w:rFonts w:hint="eastAsia" w:ascii="仿宋_GB2312" w:hAnsi="仿宋_GB2312" w:eastAsia="仿宋_GB2312" w:cs="仿宋_GB2312"/>
          <w:bCs/>
          <w:sz w:val="30"/>
          <w:szCs w:val="30"/>
        </w:rPr>
        <w:tab/>
      </w:r>
      <w:r>
        <w:rPr>
          <w:rFonts w:hint="eastAsia" w:ascii="仿宋_GB2312" w:hAnsi="仿宋_GB2312" w:eastAsia="仿宋_GB2312" w:cs="仿宋_GB2312"/>
          <w:bCs/>
          <w:sz w:val="30"/>
          <w:szCs w:val="30"/>
        </w:rPr>
        <w:fldChar w:fldCharType="begin"/>
      </w:r>
      <w:r>
        <w:rPr>
          <w:rFonts w:hint="eastAsia" w:ascii="仿宋_GB2312" w:hAnsi="仿宋_GB2312" w:eastAsia="仿宋_GB2312" w:cs="仿宋_GB2312"/>
          <w:bCs/>
          <w:sz w:val="30"/>
          <w:szCs w:val="30"/>
        </w:rPr>
        <w:instrText xml:space="preserve"> PAGEREF _Toc14413 \h </w:instrText>
      </w:r>
      <w:r>
        <w:rPr>
          <w:rFonts w:hint="eastAsia" w:ascii="仿宋_GB2312" w:hAnsi="仿宋_GB2312" w:eastAsia="仿宋_GB2312" w:cs="仿宋_GB2312"/>
          <w:bCs/>
          <w:sz w:val="30"/>
          <w:szCs w:val="30"/>
        </w:rPr>
        <w:fldChar w:fldCharType="separate"/>
      </w:r>
      <w:r>
        <w:rPr>
          <w:rFonts w:hint="eastAsia" w:ascii="仿宋_GB2312" w:hAnsi="仿宋_GB2312" w:eastAsia="仿宋_GB2312" w:cs="仿宋_GB2312"/>
          <w:bCs/>
          <w:sz w:val="30"/>
          <w:szCs w:val="30"/>
        </w:rPr>
        <w:t>2</w:t>
      </w:r>
      <w:r>
        <w:rPr>
          <w:rFonts w:hint="eastAsia" w:ascii="仿宋_GB2312" w:hAnsi="仿宋_GB2312" w:eastAsia="仿宋_GB2312" w:cs="仿宋_GB2312"/>
          <w:bCs/>
          <w:sz w:val="30"/>
          <w:szCs w:val="30"/>
        </w:rPr>
        <w:fldChar w:fldCharType="end"/>
      </w:r>
      <w:r>
        <w:rPr>
          <w:rFonts w:hint="eastAsia" w:ascii="仿宋_GB2312" w:hAnsi="仿宋_GB2312" w:eastAsia="仿宋_GB2312" w:cs="仿宋_GB2312"/>
          <w:bCs/>
          <w:sz w:val="30"/>
          <w:szCs w:val="30"/>
        </w:rPr>
        <w:fldChar w:fldCharType="end"/>
      </w:r>
    </w:p>
    <w:p w14:paraId="3744C9F8">
      <w:pPr>
        <w:pStyle w:val="39"/>
        <w:tabs>
          <w:tab w:val="right" w:leader="dot" w:pos="9070"/>
        </w:tabs>
        <w:spacing w:line="500" w:lineRule="exact"/>
        <w:rPr>
          <w:rFonts w:ascii="仿宋_GB2312" w:hAnsi="仿宋_GB2312" w:eastAsia="仿宋_GB2312" w:cs="仿宋_GB2312"/>
          <w:bCs/>
          <w:sz w:val="30"/>
          <w:szCs w:val="30"/>
        </w:rPr>
      </w:pPr>
      <w:r>
        <w:fldChar w:fldCharType="begin"/>
      </w:r>
      <w:r>
        <w:instrText xml:space="preserve"> HYPERLINK \l "_Toc26596" </w:instrText>
      </w:r>
      <w:r>
        <w:fldChar w:fldCharType="separate"/>
      </w:r>
      <w:r>
        <w:rPr>
          <w:rFonts w:hint="eastAsia" w:ascii="仿宋_GB2312" w:hAnsi="仿宋_GB2312" w:eastAsia="仿宋_GB2312" w:cs="仿宋_GB2312"/>
          <w:bCs/>
          <w:sz w:val="30"/>
          <w:szCs w:val="30"/>
        </w:rPr>
        <w:t>二、投标人资格条件及要求</w:t>
      </w:r>
      <w:r>
        <w:rPr>
          <w:rFonts w:hint="eastAsia" w:ascii="仿宋_GB2312" w:hAnsi="仿宋_GB2312" w:eastAsia="仿宋_GB2312" w:cs="仿宋_GB2312"/>
          <w:bCs/>
          <w:sz w:val="30"/>
          <w:szCs w:val="30"/>
        </w:rPr>
        <w:tab/>
      </w:r>
      <w:r>
        <w:rPr>
          <w:rFonts w:hint="eastAsia" w:ascii="仿宋_GB2312" w:hAnsi="仿宋_GB2312" w:eastAsia="仿宋_GB2312" w:cs="仿宋_GB2312"/>
          <w:bCs/>
          <w:sz w:val="30"/>
          <w:szCs w:val="30"/>
        </w:rPr>
        <w:fldChar w:fldCharType="begin"/>
      </w:r>
      <w:r>
        <w:rPr>
          <w:rFonts w:hint="eastAsia" w:ascii="仿宋_GB2312" w:hAnsi="仿宋_GB2312" w:eastAsia="仿宋_GB2312" w:cs="仿宋_GB2312"/>
          <w:bCs/>
          <w:sz w:val="30"/>
          <w:szCs w:val="30"/>
        </w:rPr>
        <w:instrText xml:space="preserve"> PAGEREF _Toc26596 \h </w:instrText>
      </w:r>
      <w:r>
        <w:rPr>
          <w:rFonts w:hint="eastAsia" w:ascii="仿宋_GB2312" w:hAnsi="仿宋_GB2312" w:eastAsia="仿宋_GB2312" w:cs="仿宋_GB2312"/>
          <w:bCs/>
          <w:sz w:val="30"/>
          <w:szCs w:val="30"/>
        </w:rPr>
        <w:fldChar w:fldCharType="separate"/>
      </w:r>
      <w:r>
        <w:rPr>
          <w:rFonts w:hint="eastAsia" w:ascii="仿宋_GB2312" w:hAnsi="仿宋_GB2312" w:eastAsia="仿宋_GB2312" w:cs="仿宋_GB2312"/>
          <w:bCs/>
          <w:sz w:val="30"/>
          <w:szCs w:val="30"/>
        </w:rPr>
        <w:t>3</w:t>
      </w:r>
      <w:r>
        <w:rPr>
          <w:rFonts w:hint="eastAsia" w:ascii="仿宋_GB2312" w:hAnsi="仿宋_GB2312" w:eastAsia="仿宋_GB2312" w:cs="仿宋_GB2312"/>
          <w:bCs/>
          <w:sz w:val="30"/>
          <w:szCs w:val="30"/>
        </w:rPr>
        <w:fldChar w:fldCharType="end"/>
      </w:r>
      <w:r>
        <w:rPr>
          <w:rFonts w:hint="eastAsia" w:ascii="仿宋_GB2312" w:hAnsi="仿宋_GB2312" w:eastAsia="仿宋_GB2312" w:cs="仿宋_GB2312"/>
          <w:bCs/>
          <w:sz w:val="30"/>
          <w:szCs w:val="30"/>
        </w:rPr>
        <w:fldChar w:fldCharType="end"/>
      </w:r>
    </w:p>
    <w:p w14:paraId="20A7B530">
      <w:pPr>
        <w:pStyle w:val="39"/>
        <w:tabs>
          <w:tab w:val="right" w:leader="dot" w:pos="9070"/>
        </w:tabs>
        <w:spacing w:line="500" w:lineRule="exact"/>
        <w:rPr>
          <w:rFonts w:ascii="仿宋_GB2312" w:hAnsi="仿宋_GB2312" w:eastAsia="仿宋_GB2312" w:cs="仿宋_GB2312"/>
          <w:bCs/>
          <w:sz w:val="30"/>
          <w:szCs w:val="30"/>
        </w:rPr>
      </w:pPr>
      <w:r>
        <w:fldChar w:fldCharType="begin"/>
      </w:r>
      <w:r>
        <w:instrText xml:space="preserve"> HYPERLINK \l "_Toc25722" </w:instrText>
      </w:r>
      <w:r>
        <w:fldChar w:fldCharType="separate"/>
      </w:r>
      <w:r>
        <w:rPr>
          <w:rFonts w:hint="eastAsia" w:ascii="仿宋_GB2312" w:hAnsi="仿宋_GB2312" w:eastAsia="仿宋_GB2312" w:cs="仿宋_GB2312"/>
          <w:bCs/>
          <w:sz w:val="30"/>
          <w:szCs w:val="30"/>
        </w:rPr>
        <w:t>三、投标说明</w:t>
      </w:r>
      <w:r>
        <w:rPr>
          <w:rFonts w:hint="eastAsia" w:ascii="仿宋_GB2312" w:hAnsi="仿宋_GB2312" w:eastAsia="仿宋_GB2312" w:cs="仿宋_GB2312"/>
          <w:bCs/>
          <w:sz w:val="30"/>
          <w:szCs w:val="30"/>
        </w:rPr>
        <w:tab/>
      </w:r>
      <w:r>
        <w:rPr>
          <w:rFonts w:hint="eastAsia" w:ascii="仿宋_GB2312" w:hAnsi="仿宋_GB2312" w:eastAsia="仿宋_GB2312" w:cs="仿宋_GB2312"/>
          <w:bCs/>
          <w:sz w:val="30"/>
          <w:szCs w:val="30"/>
        </w:rPr>
        <w:fldChar w:fldCharType="begin"/>
      </w:r>
      <w:r>
        <w:rPr>
          <w:rFonts w:hint="eastAsia" w:ascii="仿宋_GB2312" w:hAnsi="仿宋_GB2312" w:eastAsia="仿宋_GB2312" w:cs="仿宋_GB2312"/>
          <w:bCs/>
          <w:sz w:val="30"/>
          <w:szCs w:val="30"/>
        </w:rPr>
        <w:instrText xml:space="preserve"> PAGEREF _Toc25722 \h </w:instrText>
      </w:r>
      <w:r>
        <w:rPr>
          <w:rFonts w:hint="eastAsia" w:ascii="仿宋_GB2312" w:hAnsi="仿宋_GB2312" w:eastAsia="仿宋_GB2312" w:cs="仿宋_GB2312"/>
          <w:bCs/>
          <w:sz w:val="30"/>
          <w:szCs w:val="30"/>
        </w:rPr>
        <w:fldChar w:fldCharType="separate"/>
      </w:r>
      <w:r>
        <w:rPr>
          <w:rFonts w:hint="eastAsia" w:ascii="仿宋_GB2312" w:hAnsi="仿宋_GB2312" w:eastAsia="仿宋_GB2312" w:cs="仿宋_GB2312"/>
          <w:bCs/>
          <w:sz w:val="30"/>
          <w:szCs w:val="30"/>
        </w:rPr>
        <w:t>4</w:t>
      </w:r>
      <w:r>
        <w:rPr>
          <w:rFonts w:hint="eastAsia" w:ascii="仿宋_GB2312" w:hAnsi="仿宋_GB2312" w:eastAsia="仿宋_GB2312" w:cs="仿宋_GB2312"/>
          <w:bCs/>
          <w:sz w:val="30"/>
          <w:szCs w:val="30"/>
        </w:rPr>
        <w:fldChar w:fldCharType="end"/>
      </w:r>
      <w:r>
        <w:rPr>
          <w:rFonts w:hint="eastAsia" w:ascii="仿宋_GB2312" w:hAnsi="仿宋_GB2312" w:eastAsia="仿宋_GB2312" w:cs="仿宋_GB2312"/>
          <w:bCs/>
          <w:sz w:val="30"/>
          <w:szCs w:val="30"/>
        </w:rPr>
        <w:fldChar w:fldCharType="end"/>
      </w:r>
    </w:p>
    <w:p w14:paraId="0D664052">
      <w:pPr>
        <w:pStyle w:val="39"/>
        <w:tabs>
          <w:tab w:val="right" w:leader="dot" w:pos="9070"/>
        </w:tabs>
        <w:spacing w:line="500" w:lineRule="exact"/>
        <w:rPr>
          <w:rFonts w:ascii="仿宋_GB2312" w:hAnsi="仿宋_GB2312" w:eastAsia="仿宋_GB2312" w:cs="仿宋_GB2312"/>
          <w:bCs/>
          <w:sz w:val="30"/>
          <w:szCs w:val="30"/>
        </w:rPr>
      </w:pPr>
      <w:r>
        <w:fldChar w:fldCharType="begin"/>
      </w:r>
      <w:r>
        <w:instrText xml:space="preserve"> HYPERLINK \l "_Toc30928" </w:instrText>
      </w:r>
      <w:r>
        <w:fldChar w:fldCharType="separate"/>
      </w:r>
      <w:r>
        <w:rPr>
          <w:rFonts w:hint="eastAsia" w:ascii="仿宋_GB2312" w:hAnsi="仿宋_GB2312" w:eastAsia="仿宋_GB2312" w:cs="仿宋_GB2312"/>
          <w:bCs/>
          <w:sz w:val="30"/>
          <w:szCs w:val="30"/>
        </w:rPr>
        <w:t>四、投标文件</w:t>
      </w:r>
      <w:r>
        <w:rPr>
          <w:rFonts w:hint="eastAsia" w:ascii="仿宋_GB2312" w:hAnsi="仿宋_GB2312" w:eastAsia="仿宋_GB2312" w:cs="仿宋_GB2312"/>
          <w:bCs/>
          <w:sz w:val="30"/>
          <w:szCs w:val="30"/>
        </w:rPr>
        <w:tab/>
      </w:r>
      <w:r>
        <w:rPr>
          <w:rFonts w:hint="eastAsia" w:ascii="仿宋_GB2312" w:hAnsi="仿宋_GB2312" w:eastAsia="仿宋_GB2312" w:cs="仿宋_GB2312"/>
          <w:bCs/>
          <w:sz w:val="30"/>
          <w:szCs w:val="30"/>
        </w:rPr>
        <w:fldChar w:fldCharType="begin"/>
      </w:r>
      <w:r>
        <w:rPr>
          <w:rFonts w:hint="eastAsia" w:ascii="仿宋_GB2312" w:hAnsi="仿宋_GB2312" w:eastAsia="仿宋_GB2312" w:cs="仿宋_GB2312"/>
          <w:bCs/>
          <w:sz w:val="30"/>
          <w:szCs w:val="30"/>
        </w:rPr>
        <w:instrText xml:space="preserve"> PAGEREF _Toc30928 \h </w:instrText>
      </w:r>
      <w:r>
        <w:rPr>
          <w:rFonts w:hint="eastAsia" w:ascii="仿宋_GB2312" w:hAnsi="仿宋_GB2312" w:eastAsia="仿宋_GB2312" w:cs="仿宋_GB2312"/>
          <w:bCs/>
          <w:sz w:val="30"/>
          <w:szCs w:val="30"/>
        </w:rPr>
        <w:fldChar w:fldCharType="separate"/>
      </w:r>
      <w:r>
        <w:rPr>
          <w:rFonts w:hint="eastAsia" w:ascii="仿宋_GB2312" w:hAnsi="仿宋_GB2312" w:eastAsia="仿宋_GB2312" w:cs="仿宋_GB2312"/>
          <w:bCs/>
          <w:sz w:val="30"/>
          <w:szCs w:val="30"/>
        </w:rPr>
        <w:t>11</w:t>
      </w:r>
      <w:r>
        <w:rPr>
          <w:rFonts w:hint="eastAsia" w:ascii="仿宋_GB2312" w:hAnsi="仿宋_GB2312" w:eastAsia="仿宋_GB2312" w:cs="仿宋_GB2312"/>
          <w:bCs/>
          <w:sz w:val="30"/>
          <w:szCs w:val="30"/>
        </w:rPr>
        <w:fldChar w:fldCharType="end"/>
      </w:r>
      <w:r>
        <w:rPr>
          <w:rFonts w:hint="eastAsia" w:ascii="仿宋_GB2312" w:hAnsi="仿宋_GB2312" w:eastAsia="仿宋_GB2312" w:cs="仿宋_GB2312"/>
          <w:bCs/>
          <w:sz w:val="30"/>
          <w:szCs w:val="30"/>
        </w:rPr>
        <w:fldChar w:fldCharType="end"/>
      </w:r>
    </w:p>
    <w:p w14:paraId="2BF06D0B">
      <w:pPr>
        <w:pStyle w:val="39"/>
        <w:tabs>
          <w:tab w:val="right" w:leader="dot" w:pos="9070"/>
        </w:tabs>
        <w:spacing w:line="500" w:lineRule="exact"/>
        <w:rPr>
          <w:rFonts w:ascii="仿宋_GB2312" w:hAnsi="仿宋_GB2312" w:eastAsia="仿宋_GB2312" w:cs="仿宋_GB2312"/>
          <w:bCs/>
          <w:sz w:val="30"/>
          <w:szCs w:val="30"/>
        </w:rPr>
      </w:pPr>
      <w:r>
        <w:fldChar w:fldCharType="begin"/>
      </w:r>
      <w:r>
        <w:instrText xml:space="preserve"> HYPERLINK \l "_Toc22774" </w:instrText>
      </w:r>
      <w:r>
        <w:fldChar w:fldCharType="separate"/>
      </w:r>
      <w:r>
        <w:rPr>
          <w:rFonts w:hint="eastAsia" w:ascii="仿宋_GB2312" w:hAnsi="仿宋_GB2312" w:eastAsia="仿宋_GB2312" w:cs="仿宋_GB2312"/>
          <w:bCs/>
          <w:sz w:val="30"/>
          <w:szCs w:val="30"/>
        </w:rPr>
        <w:t>五、合同签订</w:t>
      </w:r>
      <w:r>
        <w:rPr>
          <w:rFonts w:hint="eastAsia" w:ascii="仿宋_GB2312" w:hAnsi="仿宋_GB2312" w:eastAsia="仿宋_GB2312" w:cs="仿宋_GB2312"/>
          <w:bCs/>
          <w:sz w:val="30"/>
          <w:szCs w:val="30"/>
        </w:rPr>
        <w:tab/>
      </w:r>
      <w:r>
        <w:rPr>
          <w:rFonts w:hint="eastAsia" w:ascii="仿宋_GB2312" w:hAnsi="仿宋_GB2312" w:eastAsia="仿宋_GB2312" w:cs="仿宋_GB2312"/>
          <w:bCs/>
          <w:sz w:val="30"/>
          <w:szCs w:val="30"/>
        </w:rPr>
        <w:fldChar w:fldCharType="begin"/>
      </w:r>
      <w:r>
        <w:rPr>
          <w:rFonts w:hint="eastAsia" w:ascii="仿宋_GB2312" w:hAnsi="仿宋_GB2312" w:eastAsia="仿宋_GB2312" w:cs="仿宋_GB2312"/>
          <w:bCs/>
          <w:sz w:val="30"/>
          <w:szCs w:val="30"/>
        </w:rPr>
        <w:instrText xml:space="preserve"> PAGEREF _Toc22774 \h </w:instrText>
      </w:r>
      <w:r>
        <w:rPr>
          <w:rFonts w:hint="eastAsia" w:ascii="仿宋_GB2312" w:hAnsi="仿宋_GB2312" w:eastAsia="仿宋_GB2312" w:cs="仿宋_GB2312"/>
          <w:bCs/>
          <w:sz w:val="30"/>
          <w:szCs w:val="30"/>
        </w:rPr>
        <w:fldChar w:fldCharType="separate"/>
      </w:r>
      <w:r>
        <w:rPr>
          <w:rFonts w:hint="eastAsia" w:ascii="仿宋_GB2312" w:hAnsi="仿宋_GB2312" w:eastAsia="仿宋_GB2312" w:cs="仿宋_GB2312"/>
          <w:bCs/>
          <w:sz w:val="30"/>
          <w:szCs w:val="30"/>
        </w:rPr>
        <w:t>14</w:t>
      </w:r>
      <w:r>
        <w:rPr>
          <w:rFonts w:hint="eastAsia" w:ascii="仿宋_GB2312" w:hAnsi="仿宋_GB2312" w:eastAsia="仿宋_GB2312" w:cs="仿宋_GB2312"/>
          <w:bCs/>
          <w:sz w:val="30"/>
          <w:szCs w:val="30"/>
        </w:rPr>
        <w:fldChar w:fldCharType="end"/>
      </w:r>
      <w:r>
        <w:rPr>
          <w:rFonts w:hint="eastAsia" w:ascii="仿宋_GB2312" w:hAnsi="仿宋_GB2312" w:eastAsia="仿宋_GB2312" w:cs="仿宋_GB2312"/>
          <w:bCs/>
          <w:sz w:val="30"/>
          <w:szCs w:val="30"/>
        </w:rPr>
        <w:fldChar w:fldCharType="end"/>
      </w:r>
    </w:p>
    <w:p w14:paraId="07362FDD">
      <w:pPr>
        <w:pStyle w:val="39"/>
        <w:tabs>
          <w:tab w:val="right" w:leader="dot" w:pos="9070"/>
        </w:tabs>
        <w:spacing w:line="500" w:lineRule="exact"/>
        <w:rPr>
          <w:rFonts w:ascii="仿宋_GB2312" w:hAnsi="仿宋_GB2312" w:eastAsia="仿宋_GB2312" w:cs="仿宋_GB2312"/>
          <w:bCs/>
          <w:sz w:val="30"/>
          <w:szCs w:val="30"/>
        </w:rPr>
      </w:pPr>
      <w:r>
        <w:fldChar w:fldCharType="begin"/>
      </w:r>
      <w:r>
        <w:instrText xml:space="preserve"> HYPERLINK \l "_Toc28350" </w:instrText>
      </w:r>
      <w:r>
        <w:fldChar w:fldCharType="separate"/>
      </w:r>
      <w:r>
        <w:rPr>
          <w:rFonts w:hint="eastAsia" w:ascii="仿宋_GB2312" w:hAnsi="仿宋_GB2312" w:eastAsia="仿宋_GB2312" w:cs="仿宋_GB2312"/>
          <w:bCs/>
          <w:sz w:val="30"/>
          <w:szCs w:val="30"/>
        </w:rPr>
        <w:t>六、废标及终止招标</w:t>
      </w:r>
      <w:r>
        <w:rPr>
          <w:rFonts w:hint="eastAsia" w:ascii="仿宋_GB2312" w:hAnsi="仿宋_GB2312" w:eastAsia="仿宋_GB2312" w:cs="仿宋_GB2312"/>
          <w:bCs/>
          <w:sz w:val="30"/>
          <w:szCs w:val="30"/>
        </w:rPr>
        <w:tab/>
      </w:r>
      <w:r>
        <w:rPr>
          <w:rFonts w:hint="eastAsia" w:ascii="仿宋_GB2312" w:hAnsi="仿宋_GB2312" w:eastAsia="仿宋_GB2312" w:cs="仿宋_GB2312"/>
          <w:bCs/>
          <w:sz w:val="30"/>
          <w:szCs w:val="30"/>
        </w:rPr>
        <w:fldChar w:fldCharType="begin"/>
      </w:r>
      <w:r>
        <w:rPr>
          <w:rFonts w:hint="eastAsia" w:ascii="仿宋_GB2312" w:hAnsi="仿宋_GB2312" w:eastAsia="仿宋_GB2312" w:cs="仿宋_GB2312"/>
          <w:bCs/>
          <w:sz w:val="30"/>
          <w:szCs w:val="30"/>
        </w:rPr>
        <w:instrText xml:space="preserve"> PAGEREF _Toc28350 \h </w:instrText>
      </w:r>
      <w:r>
        <w:rPr>
          <w:rFonts w:hint="eastAsia" w:ascii="仿宋_GB2312" w:hAnsi="仿宋_GB2312" w:eastAsia="仿宋_GB2312" w:cs="仿宋_GB2312"/>
          <w:bCs/>
          <w:sz w:val="30"/>
          <w:szCs w:val="30"/>
        </w:rPr>
        <w:fldChar w:fldCharType="separate"/>
      </w:r>
      <w:r>
        <w:rPr>
          <w:rFonts w:hint="eastAsia" w:ascii="仿宋_GB2312" w:hAnsi="仿宋_GB2312" w:eastAsia="仿宋_GB2312" w:cs="仿宋_GB2312"/>
          <w:bCs/>
          <w:sz w:val="30"/>
          <w:szCs w:val="30"/>
        </w:rPr>
        <w:t>14</w:t>
      </w:r>
      <w:r>
        <w:rPr>
          <w:rFonts w:hint="eastAsia" w:ascii="仿宋_GB2312" w:hAnsi="仿宋_GB2312" w:eastAsia="仿宋_GB2312" w:cs="仿宋_GB2312"/>
          <w:bCs/>
          <w:sz w:val="30"/>
          <w:szCs w:val="30"/>
        </w:rPr>
        <w:fldChar w:fldCharType="end"/>
      </w:r>
      <w:r>
        <w:rPr>
          <w:rFonts w:hint="eastAsia" w:ascii="仿宋_GB2312" w:hAnsi="仿宋_GB2312" w:eastAsia="仿宋_GB2312" w:cs="仿宋_GB2312"/>
          <w:bCs/>
          <w:sz w:val="30"/>
          <w:szCs w:val="30"/>
        </w:rPr>
        <w:fldChar w:fldCharType="end"/>
      </w:r>
    </w:p>
    <w:p w14:paraId="0033344E">
      <w:pPr>
        <w:pStyle w:val="39"/>
        <w:tabs>
          <w:tab w:val="right" w:leader="dot" w:pos="9070"/>
        </w:tabs>
        <w:spacing w:line="500" w:lineRule="exact"/>
        <w:rPr>
          <w:rFonts w:ascii="仿宋_GB2312" w:hAnsi="仿宋_GB2312" w:eastAsia="仿宋_GB2312" w:cs="仿宋_GB2312"/>
          <w:bCs/>
          <w:sz w:val="30"/>
          <w:szCs w:val="30"/>
        </w:rPr>
      </w:pPr>
      <w:r>
        <w:fldChar w:fldCharType="begin"/>
      </w:r>
      <w:r>
        <w:instrText xml:space="preserve"> HYPERLINK \l "_Toc8621" </w:instrText>
      </w:r>
      <w:r>
        <w:fldChar w:fldCharType="separate"/>
      </w:r>
      <w:r>
        <w:rPr>
          <w:rFonts w:hint="eastAsia" w:ascii="仿宋_GB2312" w:hAnsi="仿宋_GB2312" w:eastAsia="仿宋_GB2312" w:cs="仿宋_GB2312"/>
          <w:bCs/>
          <w:sz w:val="30"/>
          <w:szCs w:val="30"/>
        </w:rPr>
        <w:t>七、中标人瑕疵滞后发现的处理原则</w:t>
      </w:r>
      <w:r>
        <w:rPr>
          <w:rFonts w:hint="eastAsia" w:ascii="仿宋_GB2312" w:hAnsi="仿宋_GB2312" w:eastAsia="仿宋_GB2312" w:cs="仿宋_GB2312"/>
          <w:bCs/>
          <w:sz w:val="30"/>
          <w:szCs w:val="30"/>
        </w:rPr>
        <w:tab/>
      </w:r>
      <w:r>
        <w:rPr>
          <w:rFonts w:hint="eastAsia" w:ascii="仿宋_GB2312" w:hAnsi="仿宋_GB2312" w:eastAsia="仿宋_GB2312" w:cs="仿宋_GB2312"/>
          <w:bCs/>
          <w:sz w:val="30"/>
          <w:szCs w:val="30"/>
        </w:rPr>
        <w:fldChar w:fldCharType="begin"/>
      </w:r>
      <w:r>
        <w:rPr>
          <w:rFonts w:hint="eastAsia" w:ascii="仿宋_GB2312" w:hAnsi="仿宋_GB2312" w:eastAsia="仿宋_GB2312" w:cs="仿宋_GB2312"/>
          <w:bCs/>
          <w:sz w:val="30"/>
          <w:szCs w:val="30"/>
        </w:rPr>
        <w:instrText xml:space="preserve"> PAGEREF _Toc8621 \h </w:instrText>
      </w:r>
      <w:r>
        <w:rPr>
          <w:rFonts w:hint="eastAsia" w:ascii="仿宋_GB2312" w:hAnsi="仿宋_GB2312" w:eastAsia="仿宋_GB2312" w:cs="仿宋_GB2312"/>
          <w:bCs/>
          <w:sz w:val="30"/>
          <w:szCs w:val="30"/>
        </w:rPr>
        <w:fldChar w:fldCharType="separate"/>
      </w:r>
      <w:r>
        <w:rPr>
          <w:rFonts w:hint="eastAsia" w:ascii="仿宋_GB2312" w:hAnsi="仿宋_GB2312" w:eastAsia="仿宋_GB2312" w:cs="仿宋_GB2312"/>
          <w:bCs/>
          <w:sz w:val="30"/>
          <w:szCs w:val="30"/>
        </w:rPr>
        <w:t>15</w:t>
      </w:r>
      <w:r>
        <w:rPr>
          <w:rFonts w:hint="eastAsia" w:ascii="仿宋_GB2312" w:hAnsi="仿宋_GB2312" w:eastAsia="仿宋_GB2312" w:cs="仿宋_GB2312"/>
          <w:bCs/>
          <w:sz w:val="30"/>
          <w:szCs w:val="30"/>
        </w:rPr>
        <w:fldChar w:fldCharType="end"/>
      </w:r>
      <w:r>
        <w:rPr>
          <w:rFonts w:hint="eastAsia" w:ascii="仿宋_GB2312" w:hAnsi="仿宋_GB2312" w:eastAsia="仿宋_GB2312" w:cs="仿宋_GB2312"/>
          <w:bCs/>
          <w:sz w:val="30"/>
          <w:szCs w:val="30"/>
        </w:rPr>
        <w:fldChar w:fldCharType="end"/>
      </w:r>
    </w:p>
    <w:p w14:paraId="4C58B056">
      <w:pPr>
        <w:pStyle w:val="39"/>
        <w:tabs>
          <w:tab w:val="right" w:leader="dot" w:pos="9070"/>
        </w:tabs>
        <w:spacing w:line="500" w:lineRule="exact"/>
        <w:rPr>
          <w:rFonts w:ascii="仿宋_GB2312" w:hAnsi="仿宋_GB2312" w:eastAsia="仿宋_GB2312" w:cs="仿宋_GB2312"/>
          <w:bCs/>
          <w:sz w:val="30"/>
          <w:szCs w:val="30"/>
        </w:rPr>
      </w:pPr>
      <w:r>
        <w:fldChar w:fldCharType="begin"/>
      </w:r>
      <w:r>
        <w:instrText xml:space="preserve"> HYPERLINK \l "_Toc10048" </w:instrText>
      </w:r>
      <w:r>
        <w:fldChar w:fldCharType="separate"/>
      </w:r>
      <w:r>
        <w:rPr>
          <w:rFonts w:hint="eastAsia" w:ascii="仿宋_GB2312" w:hAnsi="仿宋_GB2312" w:eastAsia="仿宋_GB2312" w:cs="仿宋_GB2312"/>
          <w:bCs/>
          <w:sz w:val="30"/>
          <w:szCs w:val="30"/>
        </w:rPr>
        <w:t>八、投标文件格式</w:t>
      </w:r>
      <w:r>
        <w:rPr>
          <w:rFonts w:hint="eastAsia" w:ascii="仿宋_GB2312" w:hAnsi="仿宋_GB2312" w:eastAsia="仿宋_GB2312" w:cs="仿宋_GB2312"/>
          <w:bCs/>
          <w:sz w:val="30"/>
          <w:szCs w:val="30"/>
        </w:rPr>
        <w:tab/>
      </w:r>
      <w:r>
        <w:rPr>
          <w:rFonts w:hint="eastAsia" w:ascii="仿宋_GB2312" w:hAnsi="仿宋_GB2312" w:eastAsia="仿宋_GB2312" w:cs="仿宋_GB2312"/>
          <w:bCs/>
          <w:sz w:val="30"/>
          <w:szCs w:val="30"/>
        </w:rPr>
        <w:fldChar w:fldCharType="begin"/>
      </w:r>
      <w:r>
        <w:rPr>
          <w:rFonts w:hint="eastAsia" w:ascii="仿宋_GB2312" w:hAnsi="仿宋_GB2312" w:eastAsia="仿宋_GB2312" w:cs="仿宋_GB2312"/>
          <w:bCs/>
          <w:sz w:val="30"/>
          <w:szCs w:val="30"/>
        </w:rPr>
        <w:instrText xml:space="preserve"> PAGEREF _Toc10048 \h </w:instrText>
      </w:r>
      <w:r>
        <w:rPr>
          <w:rFonts w:hint="eastAsia" w:ascii="仿宋_GB2312" w:hAnsi="仿宋_GB2312" w:eastAsia="仿宋_GB2312" w:cs="仿宋_GB2312"/>
          <w:bCs/>
          <w:sz w:val="30"/>
          <w:szCs w:val="30"/>
        </w:rPr>
        <w:fldChar w:fldCharType="separate"/>
      </w:r>
      <w:r>
        <w:rPr>
          <w:rFonts w:hint="eastAsia" w:ascii="仿宋_GB2312" w:hAnsi="仿宋_GB2312" w:eastAsia="仿宋_GB2312" w:cs="仿宋_GB2312"/>
          <w:bCs/>
          <w:sz w:val="30"/>
          <w:szCs w:val="30"/>
        </w:rPr>
        <w:t>15</w:t>
      </w:r>
      <w:r>
        <w:rPr>
          <w:rFonts w:hint="eastAsia" w:ascii="仿宋_GB2312" w:hAnsi="仿宋_GB2312" w:eastAsia="仿宋_GB2312" w:cs="仿宋_GB2312"/>
          <w:bCs/>
          <w:sz w:val="30"/>
          <w:szCs w:val="30"/>
        </w:rPr>
        <w:fldChar w:fldCharType="end"/>
      </w:r>
      <w:r>
        <w:rPr>
          <w:rFonts w:hint="eastAsia" w:ascii="仿宋_GB2312" w:hAnsi="仿宋_GB2312" w:eastAsia="仿宋_GB2312" w:cs="仿宋_GB2312"/>
          <w:bCs/>
          <w:sz w:val="30"/>
          <w:szCs w:val="30"/>
        </w:rPr>
        <w:fldChar w:fldCharType="end"/>
      </w:r>
    </w:p>
    <w:p w14:paraId="294CC025">
      <w:pPr>
        <w:pStyle w:val="39"/>
        <w:tabs>
          <w:tab w:val="right" w:leader="dot" w:pos="9070"/>
        </w:tabs>
        <w:spacing w:line="500" w:lineRule="exact"/>
        <w:rPr>
          <w:rFonts w:ascii="仿宋_GB2312" w:hAnsi="仿宋_GB2312" w:eastAsia="仿宋_GB2312" w:cs="仿宋_GB2312"/>
          <w:bCs/>
          <w:sz w:val="30"/>
          <w:szCs w:val="30"/>
        </w:rPr>
      </w:pPr>
      <w:r>
        <w:fldChar w:fldCharType="begin"/>
      </w:r>
      <w:r>
        <w:instrText xml:space="preserve"> HYPERLINK \l "_Toc2515" </w:instrText>
      </w:r>
      <w:r>
        <w:fldChar w:fldCharType="separate"/>
      </w:r>
      <w:r>
        <w:rPr>
          <w:rFonts w:hint="eastAsia" w:ascii="仿宋_GB2312" w:hAnsi="仿宋_GB2312" w:eastAsia="仿宋_GB2312" w:cs="仿宋_GB2312"/>
          <w:bCs/>
          <w:sz w:val="30"/>
          <w:szCs w:val="30"/>
        </w:rPr>
        <w:t>九、技术协议书</w:t>
      </w:r>
      <w:r>
        <w:rPr>
          <w:rFonts w:hint="eastAsia" w:ascii="仿宋_GB2312" w:hAnsi="仿宋_GB2312" w:eastAsia="仿宋_GB2312" w:cs="仿宋_GB2312"/>
          <w:bCs/>
          <w:sz w:val="30"/>
          <w:szCs w:val="30"/>
        </w:rPr>
        <w:tab/>
      </w:r>
      <w:r>
        <w:rPr>
          <w:rFonts w:hint="eastAsia" w:ascii="仿宋_GB2312" w:hAnsi="仿宋_GB2312" w:eastAsia="仿宋_GB2312" w:cs="仿宋_GB2312"/>
          <w:bCs/>
          <w:sz w:val="30"/>
          <w:szCs w:val="30"/>
        </w:rPr>
        <w:fldChar w:fldCharType="begin"/>
      </w:r>
      <w:r>
        <w:rPr>
          <w:rFonts w:hint="eastAsia" w:ascii="仿宋_GB2312" w:hAnsi="仿宋_GB2312" w:eastAsia="仿宋_GB2312" w:cs="仿宋_GB2312"/>
          <w:bCs/>
          <w:sz w:val="30"/>
          <w:szCs w:val="30"/>
        </w:rPr>
        <w:instrText xml:space="preserve"> PAGEREF _Toc2515 \h </w:instrText>
      </w:r>
      <w:r>
        <w:rPr>
          <w:rFonts w:hint="eastAsia" w:ascii="仿宋_GB2312" w:hAnsi="仿宋_GB2312" w:eastAsia="仿宋_GB2312" w:cs="仿宋_GB2312"/>
          <w:bCs/>
          <w:sz w:val="30"/>
          <w:szCs w:val="30"/>
        </w:rPr>
        <w:fldChar w:fldCharType="separate"/>
      </w:r>
      <w:r>
        <w:rPr>
          <w:rFonts w:hint="eastAsia" w:ascii="仿宋_GB2312" w:hAnsi="仿宋_GB2312" w:eastAsia="仿宋_GB2312" w:cs="仿宋_GB2312"/>
          <w:bCs/>
          <w:sz w:val="30"/>
          <w:szCs w:val="30"/>
        </w:rPr>
        <w:t>15</w:t>
      </w:r>
      <w:r>
        <w:rPr>
          <w:rFonts w:hint="eastAsia" w:ascii="仿宋_GB2312" w:hAnsi="仿宋_GB2312" w:eastAsia="仿宋_GB2312" w:cs="仿宋_GB2312"/>
          <w:bCs/>
          <w:sz w:val="30"/>
          <w:szCs w:val="30"/>
        </w:rPr>
        <w:fldChar w:fldCharType="end"/>
      </w:r>
      <w:r>
        <w:rPr>
          <w:rFonts w:hint="eastAsia" w:ascii="仿宋_GB2312" w:hAnsi="仿宋_GB2312" w:eastAsia="仿宋_GB2312" w:cs="仿宋_GB2312"/>
          <w:bCs/>
          <w:sz w:val="30"/>
          <w:szCs w:val="30"/>
        </w:rPr>
        <w:fldChar w:fldCharType="end"/>
      </w:r>
    </w:p>
    <w:p w14:paraId="0B77AF1B">
      <w:pPr>
        <w:pStyle w:val="39"/>
        <w:tabs>
          <w:tab w:val="right" w:leader="dot" w:pos="9070"/>
        </w:tabs>
        <w:spacing w:line="500" w:lineRule="exact"/>
        <w:rPr>
          <w:rFonts w:ascii="仿宋_GB2312" w:hAnsi="仿宋_GB2312" w:eastAsia="仿宋_GB2312" w:cs="仿宋_GB2312"/>
          <w:bCs/>
          <w:sz w:val="30"/>
          <w:szCs w:val="30"/>
        </w:rPr>
      </w:pPr>
      <w:r>
        <w:fldChar w:fldCharType="begin"/>
      </w:r>
      <w:r>
        <w:instrText xml:space="preserve"> HYPERLINK \l "_Toc23780" </w:instrText>
      </w:r>
      <w:r>
        <w:fldChar w:fldCharType="separate"/>
      </w:r>
      <w:r>
        <w:rPr>
          <w:rFonts w:hint="eastAsia" w:ascii="仿宋_GB2312" w:hAnsi="仿宋_GB2312" w:eastAsia="仿宋_GB2312" w:cs="仿宋_GB2312"/>
          <w:bCs/>
          <w:sz w:val="30"/>
          <w:szCs w:val="30"/>
        </w:rPr>
        <w:t>十、解释权</w:t>
      </w:r>
      <w:r>
        <w:rPr>
          <w:rFonts w:hint="eastAsia" w:ascii="仿宋_GB2312" w:hAnsi="仿宋_GB2312" w:eastAsia="仿宋_GB2312" w:cs="仿宋_GB2312"/>
          <w:bCs/>
          <w:sz w:val="30"/>
          <w:szCs w:val="30"/>
        </w:rPr>
        <w:tab/>
      </w:r>
      <w:r>
        <w:rPr>
          <w:rFonts w:hint="eastAsia" w:ascii="仿宋_GB2312" w:hAnsi="仿宋_GB2312" w:eastAsia="仿宋_GB2312" w:cs="仿宋_GB2312"/>
          <w:bCs/>
          <w:sz w:val="30"/>
          <w:szCs w:val="30"/>
        </w:rPr>
        <w:fldChar w:fldCharType="begin"/>
      </w:r>
      <w:r>
        <w:rPr>
          <w:rFonts w:hint="eastAsia" w:ascii="仿宋_GB2312" w:hAnsi="仿宋_GB2312" w:eastAsia="仿宋_GB2312" w:cs="仿宋_GB2312"/>
          <w:bCs/>
          <w:sz w:val="30"/>
          <w:szCs w:val="30"/>
        </w:rPr>
        <w:instrText xml:space="preserve"> PAGEREF _Toc23780 \h </w:instrText>
      </w:r>
      <w:r>
        <w:rPr>
          <w:rFonts w:hint="eastAsia" w:ascii="仿宋_GB2312" w:hAnsi="仿宋_GB2312" w:eastAsia="仿宋_GB2312" w:cs="仿宋_GB2312"/>
          <w:bCs/>
          <w:sz w:val="30"/>
          <w:szCs w:val="30"/>
        </w:rPr>
        <w:fldChar w:fldCharType="separate"/>
      </w:r>
      <w:r>
        <w:rPr>
          <w:rFonts w:hint="eastAsia" w:ascii="仿宋_GB2312" w:hAnsi="仿宋_GB2312" w:eastAsia="仿宋_GB2312" w:cs="仿宋_GB2312"/>
          <w:bCs/>
          <w:sz w:val="30"/>
          <w:szCs w:val="30"/>
        </w:rPr>
        <w:t>15</w:t>
      </w:r>
      <w:r>
        <w:rPr>
          <w:rFonts w:hint="eastAsia" w:ascii="仿宋_GB2312" w:hAnsi="仿宋_GB2312" w:eastAsia="仿宋_GB2312" w:cs="仿宋_GB2312"/>
          <w:bCs/>
          <w:sz w:val="30"/>
          <w:szCs w:val="30"/>
        </w:rPr>
        <w:fldChar w:fldCharType="end"/>
      </w:r>
      <w:r>
        <w:rPr>
          <w:rFonts w:hint="eastAsia" w:ascii="仿宋_GB2312" w:hAnsi="仿宋_GB2312" w:eastAsia="仿宋_GB2312" w:cs="仿宋_GB2312"/>
          <w:bCs/>
          <w:sz w:val="30"/>
          <w:szCs w:val="30"/>
        </w:rPr>
        <w:fldChar w:fldCharType="end"/>
      </w:r>
    </w:p>
    <w:p w14:paraId="58BC2669">
      <w:pPr>
        <w:pStyle w:val="39"/>
        <w:tabs>
          <w:tab w:val="right" w:leader="dot" w:pos="9070"/>
        </w:tabs>
        <w:spacing w:line="500" w:lineRule="exact"/>
        <w:rPr>
          <w:rFonts w:hint="eastAsia" w:ascii="仿宋_GB2312" w:hAnsi="仿宋_GB2312" w:eastAsia="仿宋_GB2312" w:cs="仿宋_GB2312"/>
          <w:bCs/>
          <w:sz w:val="30"/>
          <w:szCs w:val="30"/>
          <w:lang w:eastAsia="zh-CN"/>
        </w:rPr>
      </w:pPr>
      <w:r>
        <w:rPr>
          <w:rFonts w:hint="eastAsia" w:ascii="仿宋_GB2312" w:hAnsi="仿宋_GB2312" w:eastAsia="仿宋_GB2312" w:cs="仿宋_GB2312"/>
          <w:bCs/>
          <w:sz w:val="30"/>
          <w:szCs w:val="30"/>
        </w:rPr>
        <w:t>附件：</w:t>
      </w:r>
      <w:r>
        <w:rPr>
          <w:rFonts w:hint="eastAsia" w:ascii="仿宋_GB2312" w:hAnsi="仿宋_GB2312" w:eastAsia="仿宋_GB2312" w:cs="仿宋_GB2312"/>
          <w:bCs/>
          <w:sz w:val="30"/>
          <w:szCs w:val="30"/>
        </w:rPr>
        <w:tab/>
      </w:r>
      <w:r>
        <w:rPr>
          <w:rFonts w:hint="eastAsia" w:ascii="仿宋_GB2312" w:hAnsi="仿宋_GB2312" w:eastAsia="仿宋_GB2312" w:cs="仿宋_GB2312"/>
          <w:bCs/>
          <w:sz w:val="30"/>
          <w:szCs w:val="30"/>
        </w:rPr>
        <w:t>3</w:t>
      </w:r>
      <w:r>
        <w:rPr>
          <w:rFonts w:hint="eastAsia" w:ascii="仿宋_GB2312" w:hAnsi="仿宋_GB2312" w:eastAsia="仿宋_GB2312" w:cs="仿宋_GB2312"/>
          <w:bCs/>
          <w:sz w:val="30"/>
          <w:szCs w:val="30"/>
          <w:lang w:val="en-US" w:eastAsia="zh-CN"/>
        </w:rPr>
        <w:t>1</w:t>
      </w:r>
    </w:p>
    <w:p w14:paraId="6A459063">
      <w:pPr>
        <w:spacing w:line="500" w:lineRule="exact"/>
        <w:ind w:firstLine="602" w:firstLineChars="200"/>
        <w:jc w:val="left"/>
        <w:rPr>
          <w:rFonts w:ascii="黑体" w:hAnsi="黑体" w:eastAsia="黑体" w:cs="黑体"/>
          <w:b/>
          <w:bCs/>
          <w:sz w:val="30"/>
          <w:szCs w:val="30"/>
        </w:rPr>
      </w:pPr>
    </w:p>
    <w:p w14:paraId="0AA024D3">
      <w:pPr>
        <w:spacing w:line="500" w:lineRule="exact"/>
        <w:ind w:firstLine="602" w:firstLineChars="200"/>
        <w:jc w:val="left"/>
        <w:rPr>
          <w:rFonts w:ascii="黑体" w:hAnsi="黑体" w:eastAsia="黑体" w:cs="黑体"/>
          <w:b/>
          <w:bCs/>
          <w:sz w:val="30"/>
          <w:szCs w:val="30"/>
        </w:rPr>
      </w:pPr>
    </w:p>
    <w:p w14:paraId="44911440">
      <w:pPr>
        <w:spacing w:line="500" w:lineRule="exact"/>
        <w:ind w:firstLine="602" w:firstLineChars="200"/>
        <w:jc w:val="left"/>
        <w:rPr>
          <w:rFonts w:ascii="黑体" w:hAnsi="黑体" w:eastAsia="黑体" w:cs="黑体"/>
          <w:b/>
          <w:bCs/>
          <w:sz w:val="30"/>
          <w:szCs w:val="30"/>
        </w:rPr>
      </w:pPr>
    </w:p>
    <w:p w14:paraId="2E518076">
      <w:pPr>
        <w:spacing w:line="500" w:lineRule="exact"/>
        <w:ind w:firstLine="602" w:firstLineChars="200"/>
        <w:jc w:val="left"/>
        <w:rPr>
          <w:rFonts w:ascii="黑体" w:hAnsi="黑体" w:eastAsia="黑体" w:cs="黑体"/>
          <w:b/>
          <w:bCs/>
          <w:sz w:val="30"/>
          <w:szCs w:val="30"/>
        </w:rPr>
      </w:pPr>
    </w:p>
    <w:p w14:paraId="2B7D57E5">
      <w:pPr>
        <w:pStyle w:val="39"/>
        <w:tabs>
          <w:tab w:val="right" w:leader="dot" w:pos="9070"/>
        </w:tabs>
        <w:spacing w:line="500" w:lineRule="exact"/>
        <w:rPr>
          <w:rFonts w:ascii="黑体" w:hAnsi="黑体" w:eastAsia="黑体" w:cs="黑体"/>
          <w:b/>
          <w:bCs/>
          <w:sz w:val="30"/>
          <w:szCs w:val="30"/>
        </w:rPr>
      </w:pPr>
    </w:p>
    <w:p w14:paraId="39E1C9CC">
      <w:pPr>
        <w:pStyle w:val="39"/>
        <w:tabs>
          <w:tab w:val="right" w:leader="dot" w:pos="9070"/>
        </w:tabs>
        <w:spacing w:line="500" w:lineRule="exact"/>
        <w:rPr>
          <w:rFonts w:ascii="黑体" w:hAnsi="黑体" w:eastAsia="黑体" w:cs="黑体"/>
          <w:b/>
          <w:bCs/>
          <w:sz w:val="30"/>
          <w:szCs w:val="30"/>
        </w:rPr>
      </w:pPr>
    </w:p>
    <w:p w14:paraId="34C4028E">
      <w:pPr>
        <w:pStyle w:val="39"/>
        <w:tabs>
          <w:tab w:val="right" w:leader="dot" w:pos="9070"/>
        </w:tabs>
        <w:spacing w:line="500" w:lineRule="exact"/>
        <w:rPr>
          <w:rFonts w:ascii="黑体" w:hAnsi="黑体" w:eastAsia="黑体" w:cs="黑体"/>
          <w:b/>
          <w:bCs/>
          <w:sz w:val="30"/>
          <w:szCs w:val="30"/>
        </w:rPr>
      </w:pPr>
    </w:p>
    <w:p w14:paraId="35EB1036">
      <w:pPr>
        <w:pStyle w:val="39"/>
        <w:tabs>
          <w:tab w:val="right" w:leader="dot" w:pos="9070"/>
        </w:tabs>
        <w:spacing w:line="500" w:lineRule="exact"/>
        <w:rPr>
          <w:rFonts w:ascii="黑体" w:hAnsi="黑体" w:eastAsia="黑体" w:cs="黑体"/>
          <w:b/>
          <w:bCs/>
          <w:sz w:val="30"/>
          <w:szCs w:val="30"/>
        </w:rPr>
      </w:pPr>
    </w:p>
    <w:p w14:paraId="6F903A2A">
      <w:pPr>
        <w:pStyle w:val="39"/>
        <w:tabs>
          <w:tab w:val="right" w:leader="dot" w:pos="9070"/>
        </w:tabs>
        <w:spacing w:line="500" w:lineRule="exact"/>
        <w:rPr>
          <w:rFonts w:ascii="黑体" w:hAnsi="黑体" w:eastAsia="黑体" w:cs="黑体"/>
          <w:b/>
          <w:bCs/>
          <w:sz w:val="30"/>
          <w:szCs w:val="30"/>
        </w:rPr>
      </w:pPr>
    </w:p>
    <w:p w14:paraId="43D4F05D">
      <w:pPr>
        <w:pStyle w:val="39"/>
        <w:tabs>
          <w:tab w:val="right" w:leader="dot" w:pos="9070"/>
        </w:tabs>
        <w:spacing w:line="500" w:lineRule="exact"/>
        <w:rPr>
          <w:rFonts w:ascii="黑体" w:hAnsi="黑体" w:eastAsia="黑体" w:cs="黑体"/>
          <w:b/>
          <w:bCs/>
          <w:sz w:val="30"/>
          <w:szCs w:val="30"/>
        </w:rPr>
      </w:pPr>
    </w:p>
    <w:p w14:paraId="78116829">
      <w:pPr>
        <w:pStyle w:val="39"/>
        <w:tabs>
          <w:tab w:val="right" w:leader="dot" w:pos="9070"/>
        </w:tabs>
        <w:spacing w:line="500" w:lineRule="exact"/>
        <w:rPr>
          <w:rFonts w:ascii="黑体" w:hAnsi="黑体" w:eastAsia="黑体" w:cs="黑体"/>
          <w:b/>
          <w:bCs/>
          <w:sz w:val="30"/>
          <w:szCs w:val="30"/>
        </w:rPr>
      </w:pPr>
    </w:p>
    <w:p w14:paraId="462B2BA5">
      <w:pPr>
        <w:pStyle w:val="39"/>
        <w:tabs>
          <w:tab w:val="right" w:leader="dot" w:pos="9070"/>
        </w:tabs>
        <w:spacing w:line="500" w:lineRule="exact"/>
        <w:rPr>
          <w:rFonts w:ascii="黑体" w:hAnsi="黑体" w:eastAsia="黑体" w:cs="黑体"/>
          <w:b/>
          <w:bCs/>
          <w:sz w:val="30"/>
          <w:szCs w:val="30"/>
        </w:rPr>
      </w:pPr>
    </w:p>
    <w:p w14:paraId="5E5DED46">
      <w:pPr>
        <w:spacing w:line="500" w:lineRule="exact"/>
        <w:jc w:val="left"/>
        <w:rPr>
          <w:rFonts w:ascii="黑体" w:hAnsi="黑体" w:eastAsia="黑体" w:cs="黑体"/>
          <w:b/>
          <w:bCs/>
          <w:sz w:val="30"/>
          <w:szCs w:val="30"/>
        </w:rPr>
      </w:pPr>
    </w:p>
    <w:p w14:paraId="0123438B">
      <w:pPr>
        <w:spacing w:line="500" w:lineRule="exact"/>
        <w:ind w:firstLine="602" w:firstLineChars="200"/>
        <w:jc w:val="left"/>
        <w:outlineLvl w:val="0"/>
        <w:rPr>
          <w:rFonts w:ascii="黑体" w:hAnsi="黑体" w:eastAsia="黑体" w:cs="黑体"/>
          <w:b/>
          <w:bCs/>
          <w:sz w:val="30"/>
          <w:szCs w:val="30"/>
        </w:rPr>
      </w:pPr>
      <w:bookmarkStart w:id="0" w:name="_Toc14413"/>
      <w:r>
        <w:rPr>
          <w:rFonts w:hint="eastAsia" w:ascii="黑体" w:hAnsi="黑体" w:eastAsia="黑体" w:cs="黑体"/>
          <w:b/>
          <w:bCs/>
          <w:sz w:val="30"/>
          <w:szCs w:val="30"/>
        </w:rPr>
        <w:t>一、投标人须知</w:t>
      </w:r>
      <w:bookmarkEnd w:id="0"/>
    </w:p>
    <w:p w14:paraId="5CDA5613">
      <w:pPr>
        <w:spacing w:line="500" w:lineRule="exact"/>
        <w:ind w:firstLine="600" w:firstLineChars="200"/>
        <w:jc w:val="left"/>
        <w:rPr>
          <w:rFonts w:ascii="仿宋_GB2312" w:hAnsi="仿宋" w:eastAsia="仿宋_GB2312"/>
          <w:sz w:val="30"/>
          <w:szCs w:val="30"/>
        </w:rPr>
      </w:pPr>
      <w:r>
        <w:rPr>
          <w:rFonts w:hint="eastAsia" w:ascii="仿宋_GB2312" w:hAnsi="仿宋" w:eastAsia="仿宋_GB2312"/>
          <w:sz w:val="30"/>
          <w:szCs w:val="30"/>
        </w:rPr>
        <w:t>1.招标人：中国重汽集团济南动力有限公司。</w:t>
      </w:r>
    </w:p>
    <w:p w14:paraId="1E14E9A9">
      <w:pPr>
        <w:spacing w:line="500" w:lineRule="exact"/>
        <w:ind w:firstLine="600" w:firstLineChars="200"/>
        <w:jc w:val="left"/>
        <w:rPr>
          <w:rFonts w:ascii="仿宋_GB2312" w:hAnsi="仿宋" w:eastAsia="仿宋_GB2312"/>
          <w:sz w:val="30"/>
          <w:szCs w:val="30"/>
        </w:rPr>
      </w:pPr>
      <w:r>
        <w:rPr>
          <w:rFonts w:hint="eastAsia" w:ascii="仿宋_GB2312" w:hAnsi="仿宋" w:eastAsia="仿宋_GB2312"/>
          <w:sz w:val="30"/>
          <w:szCs w:val="30"/>
        </w:rPr>
        <w:t>2.项目名称：2024年班组长集中培训。</w:t>
      </w:r>
    </w:p>
    <w:p w14:paraId="5665B2E4">
      <w:pPr>
        <w:pStyle w:val="7"/>
        <w:spacing w:line="500" w:lineRule="exact"/>
        <w:ind w:firstLine="600" w:firstLineChars="200"/>
        <w:rPr>
          <w:rFonts w:hAnsi="仿宋"/>
          <w:sz w:val="30"/>
          <w:szCs w:val="30"/>
        </w:rPr>
      </w:pPr>
      <w:r>
        <w:rPr>
          <w:rFonts w:hint="eastAsia" w:hAnsi="仿宋"/>
          <w:sz w:val="30"/>
          <w:szCs w:val="30"/>
        </w:rPr>
        <w:t>3.项目编号：CGZX2024090056。</w:t>
      </w:r>
    </w:p>
    <w:p w14:paraId="64F937C9">
      <w:pPr>
        <w:spacing w:line="500" w:lineRule="exact"/>
        <w:ind w:firstLine="600" w:firstLineChars="200"/>
        <w:jc w:val="left"/>
        <w:rPr>
          <w:rFonts w:ascii="仿宋_GB2312" w:hAnsi="仿宋" w:eastAsia="仿宋_GB2312"/>
          <w:sz w:val="30"/>
          <w:szCs w:val="30"/>
        </w:rPr>
      </w:pPr>
      <w:r>
        <w:rPr>
          <w:rFonts w:hint="eastAsia" w:ascii="仿宋_GB2312" w:hAnsi="仿宋" w:eastAsia="仿宋_GB2312"/>
          <w:sz w:val="30"/>
          <w:szCs w:val="30"/>
        </w:rPr>
        <w:t>4.项目周期：</w:t>
      </w:r>
      <w:r>
        <w:rPr>
          <w:rFonts w:hint="eastAsia" w:ascii="仿宋_GB2312" w:hAnsi="仿宋" w:eastAsia="仿宋_GB2312"/>
          <w:sz w:val="30"/>
          <w:szCs w:val="30"/>
          <w:lang w:val="en-US" w:eastAsia="zh-CN"/>
        </w:rPr>
        <w:t>考虑招标人生产实际，项目周期暂定</w:t>
      </w:r>
      <w:r>
        <w:rPr>
          <w:rFonts w:hint="eastAsia" w:ascii="仿宋_GB2312" w:hAnsi="仿宋" w:eastAsia="仿宋_GB2312"/>
          <w:sz w:val="30"/>
          <w:szCs w:val="30"/>
        </w:rPr>
        <w:t>2024年9月25日-2025年</w:t>
      </w:r>
      <w:r>
        <w:rPr>
          <w:rFonts w:hint="eastAsia" w:ascii="仿宋_GB2312" w:hAnsi="仿宋" w:eastAsia="仿宋_GB2312"/>
          <w:sz w:val="30"/>
          <w:szCs w:val="30"/>
          <w:lang w:val="en-US" w:eastAsia="zh-CN"/>
        </w:rPr>
        <w:t>1</w:t>
      </w:r>
      <w:r>
        <w:rPr>
          <w:rFonts w:hint="eastAsia" w:ascii="仿宋_GB2312" w:hAnsi="仿宋" w:eastAsia="仿宋_GB2312"/>
          <w:sz w:val="30"/>
          <w:szCs w:val="30"/>
        </w:rPr>
        <w:t>月31日，最终时间以中标后合同约定的时间为准。</w:t>
      </w:r>
    </w:p>
    <w:p w14:paraId="709BDCD4">
      <w:pPr>
        <w:pStyle w:val="10"/>
        <w:spacing w:line="500" w:lineRule="exact"/>
        <w:ind w:firstLine="600" w:firstLineChars="200"/>
        <w:rPr>
          <w:rFonts w:ascii="仿宋_GB2312" w:hAnsi="仿宋" w:eastAsia="仿宋_GB2312" w:cs="Times New Roman"/>
          <w:sz w:val="30"/>
          <w:szCs w:val="30"/>
        </w:rPr>
      </w:pPr>
      <w:r>
        <w:rPr>
          <w:rFonts w:hint="eastAsia" w:ascii="仿宋_GB2312" w:hAnsi="仿宋" w:eastAsia="仿宋_GB2312"/>
          <w:sz w:val="30"/>
          <w:szCs w:val="30"/>
        </w:rPr>
        <w:t>5</w:t>
      </w:r>
      <w:r>
        <w:rPr>
          <w:rFonts w:hint="eastAsia" w:ascii="仿宋_GB2312" w:hAnsi="仿宋" w:eastAsia="仿宋_GB2312" w:cs="Times New Roman"/>
          <w:sz w:val="30"/>
          <w:szCs w:val="30"/>
        </w:rPr>
        <w:t>.报价方式：整包总价，通过重汽e采通线上报价。</w:t>
      </w:r>
    </w:p>
    <w:p w14:paraId="7AD0FE1A">
      <w:pPr>
        <w:spacing w:line="500" w:lineRule="exact"/>
        <w:ind w:firstLine="600" w:firstLineChars="200"/>
        <w:jc w:val="left"/>
        <w:rPr>
          <w:rFonts w:ascii="仿宋_GB2312" w:hAnsi="仿宋" w:eastAsia="仿宋_GB2312"/>
          <w:sz w:val="30"/>
          <w:szCs w:val="30"/>
        </w:rPr>
      </w:pPr>
      <w:r>
        <w:rPr>
          <w:rFonts w:hint="eastAsia" w:ascii="仿宋_GB2312" w:hAnsi="仿宋" w:eastAsia="仿宋_GB2312"/>
          <w:sz w:val="30"/>
          <w:szCs w:val="30"/>
        </w:rPr>
        <w:t>6.方案递交</w:t>
      </w:r>
      <w:r>
        <w:rPr>
          <w:rFonts w:hint="eastAsia" w:ascii="仿宋_GB2312" w:hAnsi="仿宋" w:eastAsia="仿宋_GB2312"/>
          <w:color w:val="000000"/>
          <w:sz w:val="30"/>
          <w:szCs w:val="30"/>
        </w:rPr>
        <w:t>：现场提交方案</w:t>
      </w:r>
      <w:r>
        <w:rPr>
          <w:rFonts w:hint="eastAsia" w:ascii="仿宋_GB2312" w:hAnsi="仿宋" w:eastAsia="仿宋_GB2312"/>
          <w:sz w:val="30"/>
          <w:szCs w:val="30"/>
        </w:rPr>
        <w:t>。</w:t>
      </w:r>
    </w:p>
    <w:p w14:paraId="7FD834BF">
      <w:pPr>
        <w:spacing w:line="500" w:lineRule="exact"/>
        <w:ind w:firstLine="600" w:firstLineChars="200"/>
        <w:jc w:val="left"/>
        <w:rPr>
          <w:rFonts w:ascii="仿宋_GB2312" w:hAnsi="仿宋" w:eastAsia="仿宋_GB2312"/>
          <w:sz w:val="30"/>
          <w:szCs w:val="30"/>
        </w:rPr>
      </w:pPr>
      <w:r>
        <w:rPr>
          <w:rFonts w:hint="eastAsia" w:ascii="仿宋_GB2312" w:hAnsi="仿宋" w:eastAsia="仿宋_GB2312"/>
          <w:sz w:val="30"/>
          <w:szCs w:val="30"/>
        </w:rPr>
        <w:t>7.招标形式：公开招标。</w:t>
      </w:r>
    </w:p>
    <w:p w14:paraId="3F7AF527">
      <w:pPr>
        <w:spacing w:line="500" w:lineRule="exact"/>
        <w:ind w:firstLine="600" w:firstLineChars="200"/>
        <w:jc w:val="left"/>
        <w:rPr>
          <w:rFonts w:ascii="仿宋_GB2312" w:hAnsi="仿宋" w:eastAsia="仿宋_GB2312"/>
          <w:sz w:val="30"/>
          <w:szCs w:val="30"/>
        </w:rPr>
      </w:pPr>
      <w:r>
        <w:rPr>
          <w:rFonts w:hint="eastAsia" w:ascii="仿宋_GB2312" w:hAnsi="仿宋" w:eastAsia="仿宋_GB2312"/>
          <w:sz w:val="30"/>
          <w:szCs w:val="30"/>
        </w:rPr>
        <w:t>8.开标：</w:t>
      </w:r>
    </w:p>
    <w:p w14:paraId="095CC104">
      <w:pPr>
        <w:spacing w:line="500" w:lineRule="exact"/>
        <w:ind w:firstLine="600" w:firstLineChars="200"/>
        <w:jc w:val="left"/>
        <w:rPr>
          <w:rFonts w:ascii="仿宋_GB2312" w:hAnsi="仿宋" w:eastAsia="仿宋_GB2312"/>
          <w:sz w:val="30"/>
          <w:szCs w:val="30"/>
        </w:rPr>
      </w:pPr>
      <w:r>
        <w:rPr>
          <w:rFonts w:hint="eastAsia" w:ascii="仿宋_GB2312" w:hAnsi="仿宋" w:eastAsia="仿宋_GB2312"/>
          <w:sz w:val="30"/>
          <w:szCs w:val="30"/>
        </w:rPr>
        <w:t>时间：2024年9月23日。</w:t>
      </w:r>
    </w:p>
    <w:p w14:paraId="3DF0250A">
      <w:pPr>
        <w:spacing w:line="500" w:lineRule="exact"/>
        <w:ind w:firstLine="600" w:firstLineChars="200"/>
        <w:jc w:val="left"/>
        <w:rPr>
          <w:rFonts w:ascii="仿宋_GB2312" w:hAnsi="仿宋" w:eastAsia="仿宋_GB2312"/>
          <w:sz w:val="30"/>
          <w:szCs w:val="30"/>
        </w:rPr>
      </w:pPr>
      <w:r>
        <w:rPr>
          <w:rFonts w:hint="eastAsia" w:ascii="仿宋_GB2312" w:hAnsi="仿宋" w:eastAsia="仿宋_GB2312"/>
          <w:sz w:val="30"/>
          <w:szCs w:val="30"/>
        </w:rPr>
        <w:t>地点：</w:t>
      </w:r>
      <w:bookmarkStart w:id="1" w:name="OLE_LINK3"/>
      <w:bookmarkStart w:id="2" w:name="OLE_LINK2"/>
      <w:r>
        <w:rPr>
          <w:rFonts w:hint="eastAsia" w:ascii="仿宋_GB2312" w:hAnsi="仿宋" w:eastAsia="仿宋_GB2312"/>
          <w:sz w:val="30"/>
          <w:szCs w:val="30"/>
        </w:rPr>
        <w:t>中国重汽未来科技大厦会议室（具体地点另行通知）</w:t>
      </w:r>
      <w:bookmarkEnd w:id="1"/>
      <w:bookmarkEnd w:id="2"/>
      <w:r>
        <w:rPr>
          <w:rFonts w:hint="eastAsia" w:ascii="仿宋_GB2312" w:hAnsi="仿宋" w:eastAsia="仿宋_GB2312"/>
          <w:sz w:val="30"/>
          <w:szCs w:val="30"/>
        </w:rPr>
        <w:t>。</w:t>
      </w:r>
    </w:p>
    <w:p w14:paraId="58EE8425">
      <w:pPr>
        <w:spacing w:line="500" w:lineRule="exact"/>
        <w:ind w:firstLine="600" w:firstLineChars="200"/>
        <w:jc w:val="left"/>
        <w:rPr>
          <w:rFonts w:hint="eastAsia" w:ascii="仿宋_GB2312" w:hAnsi="仿宋" w:eastAsia="仿宋_GB2312"/>
          <w:sz w:val="30"/>
          <w:szCs w:val="30"/>
        </w:rPr>
      </w:pPr>
      <w:r>
        <w:rPr>
          <w:rFonts w:hint="eastAsia" w:ascii="仿宋_GB2312" w:hAnsi="仿宋" w:eastAsia="仿宋_GB2312"/>
          <w:sz w:val="30"/>
          <w:szCs w:val="30"/>
        </w:rPr>
        <w:t>9.联系人：</w:t>
      </w:r>
    </w:p>
    <w:p w14:paraId="5CC93D06">
      <w:pPr>
        <w:spacing w:line="500" w:lineRule="exact"/>
        <w:ind w:firstLine="600" w:firstLineChars="200"/>
        <w:jc w:val="left"/>
        <w:rPr>
          <w:rStyle w:val="21"/>
          <w:rFonts w:hint="eastAsia" w:ascii="仿宋_GB2312" w:hAnsi="仿宋" w:eastAsia="仿宋_GB2312"/>
          <w:sz w:val="30"/>
          <w:szCs w:val="30"/>
        </w:rPr>
      </w:pPr>
      <w:r>
        <w:rPr>
          <w:rFonts w:hint="eastAsia" w:ascii="仿宋_GB2312" w:hAnsi="仿宋" w:eastAsia="仿宋_GB2312"/>
          <w:sz w:val="30"/>
          <w:szCs w:val="30"/>
          <w:lang w:val="en-US" w:eastAsia="zh-CN"/>
        </w:rPr>
        <w:t>（1）</w:t>
      </w:r>
      <w:r>
        <w:rPr>
          <w:rFonts w:hint="eastAsia" w:ascii="仿宋_GB2312" w:hAnsi="仿宋" w:eastAsia="仿宋_GB2312"/>
          <w:sz w:val="30"/>
          <w:szCs w:val="30"/>
        </w:rPr>
        <w:t>仲崇来</w:t>
      </w:r>
      <w:r>
        <w:rPr>
          <w:rFonts w:hint="eastAsia" w:ascii="仿宋_GB2312" w:hAnsi="仿宋" w:eastAsia="仿宋_GB2312"/>
          <w:sz w:val="30"/>
          <w:szCs w:val="30"/>
          <w:lang w:eastAsia="zh-CN"/>
        </w:rPr>
        <w:t>，</w:t>
      </w:r>
      <w:r>
        <w:rPr>
          <w:rFonts w:hint="eastAsia" w:ascii="仿宋_GB2312" w:hAnsi="仿宋" w:eastAsia="仿宋_GB2312"/>
          <w:sz w:val="30"/>
          <w:szCs w:val="30"/>
        </w:rPr>
        <w:t>15966329576</w:t>
      </w:r>
      <w:r>
        <w:rPr>
          <w:rFonts w:hint="eastAsia" w:ascii="仿宋_GB2312" w:hAnsi="仿宋" w:eastAsia="仿宋_GB2312"/>
          <w:sz w:val="30"/>
          <w:szCs w:val="30"/>
          <w:lang w:eastAsia="zh-CN"/>
        </w:rPr>
        <w:t>，</w:t>
      </w:r>
      <w:r>
        <w:rPr>
          <w:rFonts w:hint="eastAsia" w:ascii="仿宋_GB2312" w:hAnsi="仿宋" w:eastAsia="仿宋_GB2312"/>
          <w:sz w:val="30"/>
          <w:szCs w:val="30"/>
        </w:rPr>
        <w:t>邮箱：</w:t>
      </w:r>
      <w:r>
        <w:fldChar w:fldCharType="begin"/>
      </w:r>
      <w:r>
        <w:instrText xml:space="preserve"> HYPERLINK "mailto:zhongchonglai@sinotruk.com" </w:instrText>
      </w:r>
      <w:r>
        <w:fldChar w:fldCharType="separate"/>
      </w:r>
      <w:r>
        <w:rPr>
          <w:rStyle w:val="21"/>
          <w:rFonts w:hint="eastAsia" w:ascii="仿宋_GB2312" w:hAnsi="仿宋" w:eastAsia="仿宋_GB2312"/>
          <w:sz w:val="30"/>
          <w:szCs w:val="30"/>
        </w:rPr>
        <w:t>zhongchonglai@sinotruk.com</w:t>
      </w:r>
      <w:r>
        <w:rPr>
          <w:rStyle w:val="21"/>
          <w:rFonts w:hint="eastAsia" w:ascii="仿宋_GB2312" w:hAnsi="仿宋" w:eastAsia="仿宋_GB2312"/>
          <w:sz w:val="30"/>
          <w:szCs w:val="30"/>
        </w:rPr>
        <w:fldChar w:fldCharType="end"/>
      </w:r>
    </w:p>
    <w:p w14:paraId="6E51A5AD">
      <w:pPr>
        <w:spacing w:line="500" w:lineRule="exact"/>
        <w:ind w:firstLine="600" w:firstLineChars="200"/>
        <w:rPr>
          <w:rFonts w:hint="default" w:ascii="仿宋_GB2312" w:hAnsi="仿宋" w:eastAsia="仿宋_GB2312"/>
          <w:sz w:val="30"/>
          <w:szCs w:val="30"/>
          <w:lang w:eastAsia="zh-CN"/>
        </w:rPr>
      </w:pPr>
      <w:r>
        <w:rPr>
          <w:rStyle w:val="20"/>
          <w:rFonts w:hint="eastAsia" w:ascii="仿宋_GB2312" w:hAnsi="仿宋" w:eastAsia="仿宋_GB2312"/>
          <w:sz w:val="30"/>
          <w:szCs w:val="30"/>
          <w:lang w:eastAsia="zh-CN"/>
        </w:rPr>
        <w:t>（</w:t>
      </w:r>
      <w:r>
        <w:rPr>
          <w:rStyle w:val="20"/>
          <w:rFonts w:hint="eastAsia" w:ascii="仿宋_GB2312" w:hAnsi="仿宋" w:eastAsia="仿宋_GB2312"/>
          <w:sz w:val="30"/>
          <w:szCs w:val="30"/>
          <w:lang w:val="en-US" w:eastAsia="zh-CN"/>
        </w:rPr>
        <w:t>2</w:t>
      </w:r>
      <w:r>
        <w:rPr>
          <w:rStyle w:val="20"/>
          <w:rFonts w:hint="eastAsia" w:ascii="仿宋_GB2312" w:hAnsi="仿宋" w:eastAsia="仿宋_GB2312"/>
          <w:sz w:val="30"/>
          <w:szCs w:val="30"/>
          <w:lang w:eastAsia="zh-CN"/>
        </w:rPr>
        <w:t>）</w:t>
      </w:r>
      <w:r>
        <w:rPr>
          <w:rFonts w:hint="eastAsia" w:ascii="仿宋_GB2312" w:hAnsi="仿宋" w:eastAsia="仿宋_GB2312"/>
          <w:sz w:val="30"/>
          <w:szCs w:val="30"/>
          <w:lang w:val="en-US" w:eastAsia="zh-CN"/>
        </w:rPr>
        <w:t>刘  武，13626405481</w:t>
      </w:r>
    </w:p>
    <w:p w14:paraId="16D559E5">
      <w:pPr>
        <w:spacing w:line="500" w:lineRule="exact"/>
        <w:ind w:firstLine="600" w:firstLineChars="200"/>
        <w:jc w:val="left"/>
        <w:rPr>
          <w:rFonts w:ascii="仿宋_GB2312" w:hAnsi="仿宋" w:eastAsia="仿宋_GB2312"/>
          <w:sz w:val="30"/>
          <w:szCs w:val="30"/>
        </w:rPr>
      </w:pPr>
      <w:r>
        <w:rPr>
          <w:rFonts w:hint="eastAsia" w:ascii="仿宋_GB2312" w:hAnsi="仿宋" w:eastAsia="仿宋_GB2312"/>
          <w:sz w:val="30"/>
          <w:szCs w:val="30"/>
        </w:rPr>
        <w:t>10.答疑方式：线上或现场答疑。</w:t>
      </w:r>
    </w:p>
    <w:p w14:paraId="5379C8D3">
      <w:pPr>
        <w:spacing w:line="500" w:lineRule="exact"/>
        <w:ind w:firstLine="602" w:firstLineChars="200"/>
        <w:jc w:val="left"/>
        <w:outlineLvl w:val="0"/>
        <w:rPr>
          <w:rFonts w:ascii="黑体" w:hAnsi="黑体" w:eastAsia="黑体" w:cs="黑体"/>
          <w:b/>
          <w:bCs/>
          <w:sz w:val="30"/>
          <w:szCs w:val="30"/>
        </w:rPr>
      </w:pPr>
      <w:bookmarkStart w:id="3" w:name="_Toc26596"/>
      <w:r>
        <w:rPr>
          <w:rFonts w:hint="eastAsia" w:ascii="黑体" w:hAnsi="黑体" w:eastAsia="黑体" w:cs="黑体"/>
          <w:b/>
          <w:bCs/>
          <w:sz w:val="30"/>
          <w:szCs w:val="30"/>
        </w:rPr>
        <w:t>二、投标人资格条件及要求</w:t>
      </w:r>
      <w:bookmarkEnd w:id="3"/>
    </w:p>
    <w:p w14:paraId="0B0E1352">
      <w:pPr>
        <w:pStyle w:val="10"/>
        <w:spacing w:line="500" w:lineRule="exact"/>
        <w:ind w:firstLine="600" w:firstLineChars="200"/>
        <w:rPr>
          <w:rFonts w:ascii="仿宋_GB2312" w:hAnsi="仿宋" w:eastAsia="仿宋_GB2312" w:cs="Times New Roman"/>
          <w:sz w:val="30"/>
          <w:szCs w:val="30"/>
        </w:rPr>
      </w:pPr>
      <w:r>
        <w:rPr>
          <w:rFonts w:hint="eastAsia" w:ascii="仿宋_GB2312" w:hAnsi="仿宋" w:eastAsia="仿宋_GB2312" w:cs="Times New Roman"/>
          <w:sz w:val="30"/>
          <w:szCs w:val="30"/>
        </w:rPr>
        <w:t>1.所有拟投标人需满足以下条件：</w:t>
      </w:r>
    </w:p>
    <w:p w14:paraId="44F9BBF3">
      <w:pPr>
        <w:pStyle w:val="10"/>
        <w:spacing w:line="500" w:lineRule="exact"/>
        <w:ind w:firstLine="600" w:firstLineChars="200"/>
        <w:rPr>
          <w:rFonts w:ascii="仿宋_GB2312" w:hAnsi="仿宋" w:eastAsia="仿宋_GB2312" w:cs="Times New Roman"/>
          <w:sz w:val="30"/>
          <w:szCs w:val="30"/>
        </w:rPr>
      </w:pPr>
      <w:r>
        <w:rPr>
          <w:rFonts w:hint="eastAsia" w:ascii="仿宋_GB2312" w:hAnsi="仿宋" w:eastAsia="仿宋_GB2312" w:cs="Times New Roman"/>
          <w:sz w:val="30"/>
          <w:szCs w:val="30"/>
        </w:rPr>
        <w:t>（1）投标人是企业法人的，必须是在中华人民共和国境内注册的独立法人机构，具有独立承担民事责任能力，原则上投标人注册资金不得低于300万元；公司成立三年以上（以营业执照成立日期到开标当日满三年为准）；且经营范围满足招标人需求；并在人员、设备、资金等方面具有承担本项目的能力；投标人是事业单位和社会团体及其分支机构，且经营范围满足招标方需求并在人员、设备、资金等方面具有承担本项目的能力的，可不受注册资金和成立时间限制；</w:t>
      </w:r>
    </w:p>
    <w:p w14:paraId="077749E5">
      <w:pPr>
        <w:pStyle w:val="10"/>
        <w:spacing w:line="500" w:lineRule="exact"/>
        <w:ind w:firstLine="600" w:firstLineChars="200"/>
        <w:rPr>
          <w:rFonts w:ascii="仿宋_GB2312" w:hAnsi="仿宋" w:eastAsia="仿宋_GB2312" w:cs="Times New Roman"/>
          <w:sz w:val="30"/>
          <w:szCs w:val="30"/>
        </w:rPr>
      </w:pPr>
      <w:r>
        <w:rPr>
          <w:rFonts w:hint="eastAsia" w:ascii="仿宋_GB2312" w:hAnsi="仿宋" w:eastAsia="仿宋_GB2312" w:cs="Times New Roman"/>
          <w:sz w:val="30"/>
          <w:szCs w:val="30"/>
        </w:rPr>
        <w:t>（2）投标人应遵守《中华人民共和国招投标法》及有关的法律和法规。具备独立法人资格，具有独立承担民事责任能力、良好的财务状况并具有一定的垫资能力，能切实履行合同。</w:t>
      </w:r>
    </w:p>
    <w:p w14:paraId="1AA26601">
      <w:pPr>
        <w:pStyle w:val="10"/>
        <w:spacing w:line="500" w:lineRule="exact"/>
        <w:ind w:firstLine="600" w:firstLineChars="200"/>
        <w:rPr>
          <w:rFonts w:ascii="仿宋_GB2312" w:hAnsi="仿宋" w:eastAsia="仿宋_GB2312" w:cs="Times New Roman"/>
          <w:sz w:val="30"/>
          <w:szCs w:val="30"/>
        </w:rPr>
      </w:pPr>
      <w:r>
        <w:rPr>
          <w:rFonts w:hint="eastAsia" w:ascii="仿宋_GB2312" w:hAnsi="仿宋" w:eastAsia="仿宋_GB2312" w:cs="Times New Roman"/>
          <w:sz w:val="30"/>
          <w:szCs w:val="30"/>
        </w:rPr>
        <w:t>（3）投标人在国家企业信用信息公示系统中有不良记录、近三年的公司财务报表异常、存在与本项目有关的违法及严重违规或被列入招标人“黑名单”的，招标人有权取消其投标资格。</w:t>
      </w:r>
    </w:p>
    <w:p w14:paraId="7D79EE5B">
      <w:pPr>
        <w:pStyle w:val="10"/>
        <w:spacing w:line="500" w:lineRule="exact"/>
        <w:ind w:firstLine="600" w:firstLineChars="200"/>
        <w:rPr>
          <w:rFonts w:ascii="仿宋_GB2312" w:hAnsi="仿宋" w:eastAsia="仿宋_GB2312" w:cs="Times New Roman"/>
          <w:sz w:val="30"/>
          <w:szCs w:val="30"/>
        </w:rPr>
      </w:pPr>
      <w:r>
        <w:rPr>
          <w:rFonts w:hint="eastAsia" w:ascii="仿宋_GB2312" w:hAnsi="仿宋" w:eastAsia="仿宋_GB2312" w:cs="Times New Roman"/>
          <w:sz w:val="30"/>
          <w:szCs w:val="30"/>
        </w:rPr>
        <w:t>（4）投标人应有班组长等相关或类似培训项目策划执行实施经验，具有良好的风险应对能力，能够认可招标人的工作指令，包括节假日能正常开展工作等要求，并在开标时携带以往项目策划执行资料、企业资信材料、财务报表及完税证明等备查；</w:t>
      </w:r>
    </w:p>
    <w:p w14:paraId="2A9A2A6C">
      <w:pPr>
        <w:pStyle w:val="10"/>
        <w:spacing w:line="500" w:lineRule="exact"/>
        <w:ind w:firstLine="600" w:firstLineChars="200"/>
        <w:rPr>
          <w:rFonts w:ascii="仿宋_GB2312" w:hAnsi="仿宋" w:eastAsia="仿宋_GB2312" w:cs="Times New Roman"/>
          <w:sz w:val="30"/>
          <w:szCs w:val="30"/>
        </w:rPr>
      </w:pPr>
      <w:r>
        <w:rPr>
          <w:rFonts w:hint="eastAsia" w:ascii="仿宋_GB2312" w:hAnsi="仿宋" w:eastAsia="仿宋_GB2312" w:cs="Times New Roman"/>
          <w:sz w:val="30"/>
          <w:szCs w:val="30"/>
        </w:rPr>
        <w:t>（5）资格审查方式：资格后审，合格制。</w:t>
      </w:r>
    </w:p>
    <w:p w14:paraId="4457933F">
      <w:pPr>
        <w:pStyle w:val="10"/>
        <w:spacing w:line="500" w:lineRule="exact"/>
        <w:ind w:firstLine="600" w:firstLineChars="200"/>
        <w:rPr>
          <w:rFonts w:ascii="仿宋_GB2312" w:hAnsi="仿宋" w:eastAsia="仿宋_GB2312" w:cs="Times New Roman"/>
          <w:sz w:val="30"/>
          <w:szCs w:val="30"/>
        </w:rPr>
      </w:pPr>
      <w:r>
        <w:rPr>
          <w:rFonts w:hint="eastAsia" w:ascii="仿宋_GB2312" w:hAnsi="仿宋" w:eastAsia="仿宋_GB2312" w:cs="Times New Roman"/>
          <w:sz w:val="30"/>
          <w:szCs w:val="30"/>
        </w:rPr>
        <w:t>投标人须知：应明确要求投标人提供</w:t>
      </w:r>
    </w:p>
    <w:p w14:paraId="6B0E3013">
      <w:pPr>
        <w:pStyle w:val="10"/>
        <w:spacing w:line="500" w:lineRule="exact"/>
        <w:ind w:firstLine="600" w:firstLineChars="200"/>
        <w:rPr>
          <w:rFonts w:ascii="仿宋_GB2312" w:hAnsi="仿宋" w:eastAsia="仿宋_GB2312" w:cs="Times New Roman"/>
          <w:sz w:val="30"/>
          <w:szCs w:val="30"/>
        </w:rPr>
      </w:pPr>
      <w:r>
        <w:rPr>
          <w:rFonts w:hint="eastAsia" w:ascii="仿宋_GB2312" w:hAnsi="仿宋" w:eastAsia="仿宋_GB2312" w:cs="Times New Roman"/>
          <w:sz w:val="30"/>
          <w:szCs w:val="30"/>
        </w:rPr>
        <w:t xml:space="preserve">①经会计师事务所审计且出具无保留意见的近三年的财务审计报告，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 </w:t>
      </w:r>
    </w:p>
    <w:p w14:paraId="6256F04F">
      <w:pPr>
        <w:pStyle w:val="10"/>
        <w:spacing w:line="500" w:lineRule="exact"/>
        <w:ind w:firstLine="600" w:firstLineChars="200"/>
        <w:rPr>
          <w:rFonts w:ascii="仿宋_GB2312" w:hAnsi="仿宋" w:eastAsia="仿宋_GB2312" w:cs="Times New Roman"/>
          <w:sz w:val="30"/>
          <w:szCs w:val="30"/>
        </w:rPr>
      </w:pPr>
      <w:r>
        <w:rPr>
          <w:rFonts w:hint="eastAsia" w:ascii="仿宋_GB2312" w:hAnsi="仿宋" w:eastAsia="仿宋_GB2312" w:cs="Times New Roman"/>
          <w:sz w:val="30"/>
          <w:szCs w:val="30"/>
        </w:rPr>
        <w:t xml:space="preserve">②企业最近半年完税证明、信用证明材料（中国人民银行信用代码证+征信报告）； </w:t>
      </w:r>
    </w:p>
    <w:p w14:paraId="5CFA6F33">
      <w:pPr>
        <w:pStyle w:val="10"/>
        <w:spacing w:line="500" w:lineRule="exact"/>
        <w:ind w:firstLine="600" w:firstLineChars="200"/>
        <w:rPr>
          <w:rFonts w:ascii="仿宋_GB2312" w:hAnsi="仿宋" w:eastAsia="仿宋_GB2312" w:cs="Times New Roman"/>
          <w:sz w:val="30"/>
          <w:szCs w:val="30"/>
        </w:rPr>
      </w:pPr>
      <w:r>
        <w:rPr>
          <w:rFonts w:hint="eastAsia" w:ascii="仿宋_GB2312" w:hAnsi="仿宋" w:eastAsia="仿宋_GB2312" w:cs="Times New Roman"/>
          <w:sz w:val="30"/>
          <w:szCs w:val="30"/>
        </w:rPr>
        <w:t xml:space="preserve">③年度纳税信用评价信息（可从电子税务局查询截图，需加盖公章）； </w:t>
      </w:r>
    </w:p>
    <w:p w14:paraId="1B925D3C">
      <w:pPr>
        <w:pStyle w:val="10"/>
        <w:spacing w:line="500" w:lineRule="exact"/>
        <w:ind w:firstLine="600" w:firstLineChars="200"/>
        <w:rPr>
          <w:rFonts w:ascii="仿宋_GB2312" w:hAnsi="仿宋" w:eastAsia="仿宋_GB2312" w:cs="Times New Roman"/>
          <w:sz w:val="30"/>
          <w:szCs w:val="30"/>
        </w:rPr>
      </w:pPr>
      <w:r>
        <w:rPr>
          <w:rFonts w:hint="eastAsia" w:ascii="仿宋_GB2312" w:hAnsi="仿宋" w:eastAsia="仿宋_GB2312" w:cs="Times New Roman"/>
          <w:sz w:val="30"/>
          <w:szCs w:val="30"/>
        </w:rPr>
        <w:t>④企业对外担保说明（写明贵单位对外有无对外担保和质押业务，需加盖公章）。</w:t>
      </w:r>
    </w:p>
    <w:p w14:paraId="45E42057">
      <w:pPr>
        <w:pStyle w:val="10"/>
        <w:spacing w:line="500" w:lineRule="exact"/>
        <w:ind w:firstLine="600" w:firstLineChars="200"/>
        <w:rPr>
          <w:rFonts w:ascii="仿宋_GB2312" w:hAnsi="仿宋" w:eastAsia="仿宋_GB2312" w:cs="Times New Roman"/>
          <w:sz w:val="30"/>
          <w:szCs w:val="30"/>
        </w:rPr>
      </w:pPr>
      <w:r>
        <w:rPr>
          <w:rFonts w:hint="eastAsia" w:ascii="仿宋_GB2312" w:hAnsi="仿宋" w:eastAsia="仿宋_GB2312" w:cs="Times New Roman"/>
          <w:sz w:val="30"/>
          <w:szCs w:val="30"/>
        </w:rPr>
        <w:t>2.投标人对课程材料拥有合法的知识产权或具有合法的来源，有关知识产权中不存在任何侵犯第三方的权益。</w:t>
      </w:r>
    </w:p>
    <w:p w14:paraId="69EE1D1D">
      <w:pPr>
        <w:pStyle w:val="10"/>
        <w:spacing w:line="500" w:lineRule="exact"/>
        <w:ind w:firstLine="600" w:firstLineChars="200"/>
        <w:rPr>
          <w:rFonts w:ascii="仿宋_GB2312" w:hAnsi="仿宋" w:eastAsia="仿宋_GB2312" w:cs="Times New Roman"/>
          <w:sz w:val="30"/>
          <w:szCs w:val="30"/>
        </w:rPr>
      </w:pPr>
      <w:r>
        <w:rPr>
          <w:rFonts w:hint="eastAsia" w:ascii="仿宋_GB2312" w:hAnsi="仿宋" w:eastAsia="仿宋_GB2312" w:cs="Times New Roman"/>
          <w:sz w:val="30"/>
          <w:szCs w:val="30"/>
        </w:rPr>
        <w:t xml:space="preserve">3.投标方的直接或间接股东、法定代表人、董事、监事、高管非重汽员工及其亲属。 </w:t>
      </w:r>
    </w:p>
    <w:p w14:paraId="52AD5CFA">
      <w:pPr>
        <w:spacing w:line="500" w:lineRule="exact"/>
        <w:ind w:firstLine="602" w:firstLineChars="200"/>
        <w:jc w:val="left"/>
        <w:outlineLvl w:val="0"/>
        <w:rPr>
          <w:rFonts w:ascii="黑体" w:hAnsi="黑体" w:eastAsia="黑体" w:cs="黑体"/>
          <w:b/>
          <w:bCs/>
          <w:sz w:val="30"/>
          <w:szCs w:val="30"/>
        </w:rPr>
      </w:pPr>
      <w:bookmarkStart w:id="4" w:name="_Toc25722"/>
      <w:r>
        <w:rPr>
          <w:rFonts w:hint="eastAsia" w:ascii="黑体" w:hAnsi="黑体" w:eastAsia="黑体" w:cs="黑体"/>
          <w:b/>
          <w:bCs/>
          <w:sz w:val="30"/>
          <w:szCs w:val="30"/>
        </w:rPr>
        <w:t>三、投标说明</w:t>
      </w:r>
      <w:bookmarkEnd w:id="4"/>
      <w:bookmarkStart w:id="30" w:name="_GoBack"/>
      <w:bookmarkEnd w:id="30"/>
    </w:p>
    <w:p w14:paraId="62042957">
      <w:pPr>
        <w:pStyle w:val="36"/>
        <w:spacing w:line="500" w:lineRule="exact"/>
        <w:ind w:firstLine="602"/>
        <w:outlineLvl w:val="1"/>
        <w:rPr>
          <w:rFonts w:ascii="楷体_GB2312" w:hAnsi="楷体_GB2312" w:eastAsia="楷体_GB2312" w:cs="楷体_GB2312"/>
          <w:sz w:val="30"/>
          <w:szCs w:val="30"/>
        </w:rPr>
      </w:pPr>
      <w:r>
        <w:rPr>
          <w:rFonts w:hint="eastAsia" w:ascii="楷体_GB2312" w:hAnsi="楷体_GB2312" w:eastAsia="楷体_GB2312" w:cs="楷体_GB2312"/>
          <w:sz w:val="30"/>
          <w:szCs w:val="30"/>
        </w:rPr>
        <w:t>1.招标文件获取</w:t>
      </w:r>
    </w:p>
    <w:p w14:paraId="1B56DA6B">
      <w:pPr>
        <w:spacing w:line="500" w:lineRule="exact"/>
        <w:ind w:firstLine="600" w:firstLineChars="200"/>
        <w:jc w:val="left"/>
        <w:rPr>
          <w:rFonts w:ascii="仿宋_GB2312" w:hAnsi="仿宋" w:eastAsia="仿宋_GB2312"/>
          <w:sz w:val="30"/>
          <w:szCs w:val="30"/>
        </w:rPr>
      </w:pPr>
      <w:r>
        <w:rPr>
          <w:rFonts w:hint="eastAsia" w:ascii="仿宋_GB2312" w:hAnsi="黑体" w:eastAsia="仿宋_GB2312"/>
          <w:sz w:val="30"/>
          <w:szCs w:val="30"/>
        </w:rPr>
        <w:t>招标人将本项目招标文件公布至重汽e采通平台，地址如下：https://ecaitong.sinotruk.com:8012/#/login</w:t>
      </w:r>
      <w:r>
        <w:rPr>
          <w:rFonts w:hint="eastAsia" w:ascii="仿宋_GB2312" w:hAnsi="仿宋" w:eastAsia="仿宋_GB2312"/>
          <w:sz w:val="30"/>
          <w:szCs w:val="30"/>
        </w:rPr>
        <w:t>。投标人需注册后获取招标文件。具体操作详看</w:t>
      </w:r>
      <w:r>
        <w:rPr>
          <w:rFonts w:hint="eastAsia" w:ascii="仿宋_GB2312" w:hAnsi="仿宋" w:eastAsia="仿宋_GB2312"/>
          <w:sz w:val="30"/>
          <w:szCs w:val="30"/>
          <w:lang w:val="en-US" w:eastAsia="zh-CN"/>
        </w:rPr>
        <w:t>招标文件末尾后</w:t>
      </w:r>
      <w:r>
        <w:rPr>
          <w:rFonts w:hint="eastAsia" w:ascii="仿宋_GB2312" w:hAnsi="仿宋" w:eastAsia="仿宋_GB2312"/>
          <w:sz w:val="30"/>
          <w:szCs w:val="30"/>
        </w:rPr>
        <w:t>附件。</w:t>
      </w:r>
    </w:p>
    <w:p w14:paraId="6556C6F2">
      <w:pPr>
        <w:pStyle w:val="36"/>
        <w:spacing w:line="500" w:lineRule="exact"/>
        <w:ind w:firstLine="602"/>
        <w:outlineLvl w:val="1"/>
        <w:rPr>
          <w:rFonts w:ascii="楷体_GB2312" w:hAnsi="楷体_GB2312" w:eastAsia="楷体_GB2312" w:cs="楷体_GB2312"/>
          <w:sz w:val="30"/>
          <w:szCs w:val="30"/>
        </w:rPr>
      </w:pPr>
      <w:r>
        <w:rPr>
          <w:rFonts w:hint="eastAsia" w:ascii="楷体_GB2312" w:hAnsi="楷体_GB2312" w:eastAsia="楷体_GB2312" w:cs="楷体_GB2312"/>
          <w:sz w:val="30"/>
          <w:szCs w:val="30"/>
        </w:rPr>
        <w:t>2.报名方式</w:t>
      </w:r>
    </w:p>
    <w:p w14:paraId="1C2439EC">
      <w:pPr>
        <w:pStyle w:val="38"/>
        <w:spacing w:line="500" w:lineRule="exact"/>
        <w:ind w:firstLine="600"/>
        <w:rPr>
          <w:rFonts w:ascii="仿宋_GB2312" w:hAnsi="仿宋" w:eastAsia="仿宋_GB2312" w:cs="Times New Roman"/>
          <w:sz w:val="30"/>
          <w:szCs w:val="30"/>
        </w:rPr>
      </w:pPr>
      <w:r>
        <w:rPr>
          <w:rFonts w:hint="eastAsia" w:ascii="仿宋_GB2312" w:hAnsi="仿宋" w:eastAsia="仿宋_GB2312" w:cs="Times New Roman"/>
          <w:sz w:val="30"/>
          <w:szCs w:val="30"/>
        </w:rPr>
        <w:t>投标人根据招标人在</w:t>
      </w:r>
      <w:r>
        <w:rPr>
          <w:rFonts w:hint="eastAsia" w:ascii="黑体" w:hAnsi="黑体" w:eastAsia="黑体" w:cs="黑体"/>
          <w:b/>
          <w:bCs/>
          <w:sz w:val="30"/>
          <w:szCs w:val="30"/>
        </w:rPr>
        <w:t>中国重汽官网、山东省阳光采购服务平台、中国招标投标公共服务平台</w:t>
      </w:r>
      <w:r>
        <w:rPr>
          <w:rFonts w:hint="eastAsia" w:ascii="仿宋_GB2312" w:hAnsi="仿宋" w:eastAsia="仿宋_GB2312" w:cs="Times New Roman"/>
          <w:sz w:val="30"/>
          <w:szCs w:val="30"/>
        </w:rPr>
        <w:t>等公开媒体上发布的招标信息，在“中国重汽e采通”平台报名。按照中国重汽e采通“SRM非生产供应商注册手册”进行注册，注册时请填写：项目名称和项目编号，供货类别选择“非生产招标/服务/培训教学”。其他的据实填写。</w:t>
      </w:r>
    </w:p>
    <w:p w14:paraId="24DD1F18">
      <w:pPr>
        <w:pStyle w:val="38"/>
        <w:spacing w:line="500" w:lineRule="exact"/>
        <w:ind w:firstLine="600"/>
        <w:rPr>
          <w:rFonts w:ascii="仿宋_GB2312" w:hAnsi="仿宋" w:eastAsia="仿宋_GB2312" w:cs="Times New Roman"/>
          <w:sz w:val="30"/>
          <w:szCs w:val="30"/>
        </w:rPr>
      </w:pPr>
      <w:r>
        <w:rPr>
          <w:rFonts w:hint="eastAsia" w:ascii="仿宋_GB2312" w:hAnsi="仿宋" w:eastAsia="仿宋_GB2312" w:cs="Times New Roman"/>
          <w:sz w:val="30"/>
          <w:szCs w:val="30"/>
        </w:rPr>
        <w:t>注册完成后登录“e采通平台”进入“供应商应标”，选择对应的项目，点击“应标”后按照投标文件组成资格证明文件要求准备资料并上传，资质审查通过即为报名成功；公示期间请尽快应标。</w:t>
      </w:r>
    </w:p>
    <w:p w14:paraId="0D0AB741">
      <w:pPr>
        <w:pStyle w:val="10"/>
        <w:spacing w:line="500" w:lineRule="exact"/>
        <w:ind w:firstLine="600" w:firstLineChars="200"/>
        <w:rPr>
          <w:rFonts w:ascii="仿宋_GB2312" w:hAnsi="仿宋" w:eastAsia="仿宋_GB2312" w:cs="Times New Roman"/>
          <w:color w:val="000000"/>
          <w:sz w:val="30"/>
          <w:szCs w:val="30"/>
        </w:rPr>
      </w:pPr>
      <w:r>
        <w:rPr>
          <w:rFonts w:hint="eastAsia" w:ascii="仿宋_GB2312" w:hAnsi="仿宋" w:eastAsia="仿宋_GB2312" w:cs="Times New Roman"/>
          <w:color w:val="000000"/>
          <w:sz w:val="30"/>
          <w:szCs w:val="30"/>
        </w:rPr>
        <w:t>（1）发标时间：2024年9月</w:t>
      </w:r>
      <w:r>
        <w:rPr>
          <w:rFonts w:hint="eastAsia" w:ascii="仿宋_GB2312" w:hAnsi="仿宋" w:eastAsia="仿宋_GB2312" w:cs="Times New Roman"/>
          <w:color w:val="000000"/>
          <w:sz w:val="30"/>
          <w:szCs w:val="30"/>
          <w:lang w:val="en-US" w:eastAsia="zh-CN"/>
        </w:rPr>
        <w:t>10</w:t>
      </w:r>
      <w:r>
        <w:rPr>
          <w:rFonts w:hint="eastAsia" w:ascii="仿宋_GB2312" w:hAnsi="仿宋" w:eastAsia="仿宋_GB2312" w:cs="Times New Roman"/>
          <w:color w:val="000000"/>
          <w:sz w:val="30"/>
          <w:szCs w:val="30"/>
        </w:rPr>
        <w:t>日；</w:t>
      </w:r>
    </w:p>
    <w:p w14:paraId="71D79FBC">
      <w:pPr>
        <w:pStyle w:val="10"/>
        <w:spacing w:line="500" w:lineRule="exact"/>
        <w:ind w:firstLine="600" w:firstLineChars="200"/>
        <w:rPr>
          <w:rFonts w:ascii="仿宋_GB2312" w:hAnsi="仿宋" w:eastAsia="仿宋_GB2312" w:cs="Times New Roman"/>
          <w:color w:val="000000"/>
          <w:sz w:val="30"/>
          <w:szCs w:val="30"/>
        </w:rPr>
      </w:pPr>
      <w:r>
        <w:rPr>
          <w:rFonts w:hint="eastAsia" w:ascii="仿宋_GB2312" w:hAnsi="仿宋" w:eastAsia="仿宋_GB2312" w:cs="Times New Roman"/>
          <w:color w:val="000000"/>
          <w:sz w:val="30"/>
          <w:szCs w:val="30"/>
        </w:rPr>
        <w:t>（2）应标截止时间：2024年9月2</w:t>
      </w:r>
      <w:r>
        <w:rPr>
          <w:rFonts w:hint="eastAsia" w:ascii="仿宋_GB2312" w:hAnsi="仿宋" w:eastAsia="仿宋_GB2312" w:cs="Times New Roman"/>
          <w:color w:val="000000"/>
          <w:sz w:val="30"/>
          <w:szCs w:val="30"/>
          <w:lang w:val="en-US" w:eastAsia="zh-CN"/>
        </w:rPr>
        <w:t>1</w:t>
      </w:r>
      <w:r>
        <w:rPr>
          <w:rFonts w:hint="eastAsia" w:ascii="仿宋_GB2312" w:hAnsi="仿宋" w:eastAsia="仿宋_GB2312" w:cs="Times New Roman"/>
          <w:color w:val="000000"/>
          <w:sz w:val="30"/>
          <w:szCs w:val="30"/>
        </w:rPr>
        <w:t>日；</w:t>
      </w:r>
    </w:p>
    <w:p w14:paraId="3A40473D">
      <w:pPr>
        <w:pStyle w:val="10"/>
        <w:spacing w:line="500" w:lineRule="exact"/>
        <w:ind w:firstLine="600" w:firstLineChars="200"/>
        <w:rPr>
          <w:rFonts w:ascii="仿宋_GB2312" w:hAnsi="仿宋" w:eastAsia="仿宋_GB2312" w:cs="Times New Roman"/>
          <w:color w:val="000000"/>
          <w:sz w:val="30"/>
          <w:szCs w:val="30"/>
        </w:rPr>
      </w:pPr>
      <w:r>
        <w:rPr>
          <w:rFonts w:hint="eastAsia" w:ascii="仿宋_GB2312" w:hAnsi="仿宋" w:eastAsia="仿宋_GB2312" w:cs="Times New Roman"/>
          <w:color w:val="000000"/>
          <w:sz w:val="30"/>
          <w:szCs w:val="30"/>
        </w:rPr>
        <w:t>（3）答疑时间：如果投标人对招标文件商务部分、技术部分有疑问，请各投标人在本答疑环节提出。提交疑问时间：2024年9月15日17:00前；提交疑问方式：将答疑问题以word文件格式发送至联系人邮件内，并电话联系工作人员查收，邮件名格式为：XXX公司（五个字以内公司简称）XX项目答疑文件。同时必须在邮件中以文字方式提供投标人全称、投标授权人姓名、联系方式（固定电话、手机、电子邮箱），并提供法定代表人授权委托书。</w:t>
      </w:r>
    </w:p>
    <w:p w14:paraId="18EF9875">
      <w:pPr>
        <w:pStyle w:val="36"/>
        <w:spacing w:line="500" w:lineRule="exact"/>
        <w:ind w:firstLine="602"/>
        <w:outlineLvl w:val="1"/>
        <w:rPr>
          <w:rFonts w:ascii="楷体_GB2312" w:hAnsi="楷体_GB2312" w:eastAsia="楷体_GB2312" w:cs="楷体_GB2312"/>
          <w:sz w:val="30"/>
          <w:szCs w:val="30"/>
        </w:rPr>
      </w:pPr>
      <w:r>
        <w:rPr>
          <w:rFonts w:hint="eastAsia" w:ascii="楷体_GB2312" w:hAnsi="楷体_GB2312" w:eastAsia="楷体_GB2312" w:cs="楷体_GB2312"/>
          <w:sz w:val="30"/>
          <w:szCs w:val="30"/>
        </w:rPr>
        <w:t>3.投标保证金</w:t>
      </w:r>
    </w:p>
    <w:p w14:paraId="344B6A2B">
      <w:pPr>
        <w:pStyle w:val="38"/>
        <w:spacing w:line="500" w:lineRule="exact"/>
        <w:ind w:firstLine="600"/>
        <w:rPr>
          <w:rFonts w:ascii="仿宋_GB2312" w:hAnsi="仿宋" w:eastAsia="仿宋_GB2312" w:cs="Times New Roman"/>
          <w:sz w:val="30"/>
          <w:szCs w:val="30"/>
        </w:rPr>
      </w:pPr>
      <w:r>
        <w:rPr>
          <w:rFonts w:hint="eastAsia" w:ascii="仿宋_GB2312" w:hAnsi="仿宋" w:eastAsia="仿宋_GB2312" w:cs="Times New Roman"/>
          <w:sz w:val="30"/>
          <w:szCs w:val="30"/>
        </w:rPr>
        <w:t xml:space="preserve">投标人须向招标人缴纳投标保证金，投标保证金为 10000 元（人民币大写壹万元整），本次招标收取的投标保证金公对公（基本账户）以现汇形式进行交款，不允许以个人名义交款，汇款时必须注明“中国重汽班组长集中培训项目招标采购招标处置保证金”，收款开户行及账户见下： </w:t>
      </w:r>
    </w:p>
    <w:p w14:paraId="22080E2F">
      <w:pPr>
        <w:pStyle w:val="38"/>
        <w:spacing w:line="500" w:lineRule="exact"/>
        <w:ind w:firstLine="600"/>
        <w:rPr>
          <w:rFonts w:ascii="仿宋_GB2312" w:hAnsi="仿宋" w:eastAsia="仿宋_GB2312" w:cs="Times New Roman"/>
          <w:sz w:val="30"/>
          <w:szCs w:val="30"/>
        </w:rPr>
      </w:pPr>
      <w:r>
        <w:rPr>
          <w:rFonts w:hint="eastAsia" w:ascii="仿宋_GB2312" w:hAnsi="仿宋" w:eastAsia="仿宋_GB2312" w:cs="Times New Roman"/>
          <w:sz w:val="30"/>
          <w:szCs w:val="30"/>
        </w:rPr>
        <w:t>名称：中国重汽集团济南动力有限公司</w:t>
      </w:r>
    </w:p>
    <w:p w14:paraId="1748F5E7">
      <w:pPr>
        <w:pStyle w:val="38"/>
        <w:spacing w:line="500" w:lineRule="exact"/>
        <w:ind w:firstLine="600"/>
        <w:rPr>
          <w:rFonts w:ascii="仿宋_GB2312" w:hAnsi="仿宋" w:eastAsia="仿宋_GB2312" w:cs="Times New Roman"/>
          <w:sz w:val="30"/>
          <w:szCs w:val="30"/>
        </w:rPr>
      </w:pPr>
      <w:r>
        <w:rPr>
          <w:rFonts w:hint="eastAsia" w:ascii="仿宋_GB2312" w:hAnsi="仿宋" w:eastAsia="仿宋_GB2312" w:cs="Times New Roman"/>
          <w:sz w:val="30"/>
          <w:szCs w:val="30"/>
        </w:rPr>
        <w:t>地址：山东省济南市高新区华奥路777号</w:t>
      </w:r>
    </w:p>
    <w:p w14:paraId="25143894">
      <w:pPr>
        <w:pStyle w:val="38"/>
        <w:spacing w:line="500" w:lineRule="exact"/>
        <w:ind w:firstLine="600"/>
        <w:rPr>
          <w:rFonts w:ascii="仿宋_GB2312" w:hAnsi="仿宋" w:eastAsia="仿宋_GB2312" w:cs="Times New Roman"/>
          <w:sz w:val="30"/>
          <w:szCs w:val="30"/>
        </w:rPr>
      </w:pPr>
      <w:r>
        <w:rPr>
          <w:rFonts w:hint="eastAsia" w:ascii="仿宋_GB2312" w:hAnsi="仿宋" w:eastAsia="仿宋_GB2312" w:cs="Times New Roman"/>
          <w:sz w:val="30"/>
          <w:szCs w:val="30"/>
        </w:rPr>
        <w:t>电话：58062126</w:t>
      </w:r>
    </w:p>
    <w:p w14:paraId="13286740">
      <w:pPr>
        <w:pStyle w:val="38"/>
        <w:spacing w:line="500" w:lineRule="exact"/>
        <w:ind w:firstLine="600"/>
        <w:rPr>
          <w:rFonts w:ascii="仿宋_GB2312" w:hAnsi="仿宋" w:eastAsia="仿宋_GB2312" w:cs="Times New Roman"/>
          <w:sz w:val="30"/>
          <w:szCs w:val="30"/>
        </w:rPr>
      </w:pPr>
      <w:r>
        <w:rPr>
          <w:rFonts w:hint="eastAsia" w:ascii="仿宋_GB2312" w:hAnsi="仿宋" w:eastAsia="仿宋_GB2312" w:cs="Times New Roman"/>
          <w:sz w:val="30"/>
          <w:szCs w:val="30"/>
        </w:rPr>
        <w:t>账号：37001616508050150300</w:t>
      </w:r>
    </w:p>
    <w:p w14:paraId="152AD16E">
      <w:pPr>
        <w:pStyle w:val="38"/>
        <w:spacing w:line="500" w:lineRule="exact"/>
        <w:ind w:firstLine="600"/>
        <w:rPr>
          <w:rFonts w:ascii="仿宋_GB2312" w:hAnsi="仿宋" w:eastAsia="仿宋_GB2312" w:cs="Times New Roman"/>
          <w:sz w:val="30"/>
          <w:szCs w:val="30"/>
        </w:rPr>
      </w:pPr>
      <w:r>
        <w:rPr>
          <w:rFonts w:hint="eastAsia" w:ascii="仿宋_GB2312" w:hAnsi="仿宋" w:eastAsia="仿宋_GB2312" w:cs="Times New Roman"/>
          <w:sz w:val="30"/>
          <w:szCs w:val="30"/>
        </w:rPr>
        <w:t>开户行行号：105451000362</w:t>
      </w:r>
    </w:p>
    <w:p w14:paraId="3628BF3F">
      <w:pPr>
        <w:pStyle w:val="38"/>
        <w:spacing w:line="500" w:lineRule="exact"/>
        <w:ind w:firstLine="600"/>
        <w:rPr>
          <w:rFonts w:ascii="仿宋_GB2312" w:hAnsi="仿宋" w:eastAsia="仿宋_GB2312" w:cs="Times New Roman"/>
          <w:sz w:val="30"/>
          <w:szCs w:val="30"/>
        </w:rPr>
      </w:pPr>
      <w:r>
        <w:rPr>
          <w:rFonts w:hint="eastAsia" w:ascii="仿宋_GB2312" w:hAnsi="仿宋" w:eastAsia="仿宋_GB2312" w:cs="Times New Roman"/>
          <w:sz w:val="30"/>
          <w:szCs w:val="30"/>
        </w:rPr>
        <w:t>财务电话：0531-58062181</w:t>
      </w:r>
    </w:p>
    <w:p w14:paraId="0437E3A9">
      <w:pPr>
        <w:pStyle w:val="38"/>
        <w:spacing w:line="500" w:lineRule="exact"/>
        <w:ind w:firstLine="600"/>
        <w:rPr>
          <w:rFonts w:ascii="仿宋_GB2312" w:hAnsi="仿宋" w:eastAsia="仿宋_GB2312" w:cs="Times New Roman"/>
          <w:sz w:val="30"/>
          <w:szCs w:val="30"/>
        </w:rPr>
      </w:pPr>
      <w:r>
        <w:rPr>
          <w:rFonts w:hint="eastAsia" w:ascii="仿宋_GB2312" w:hAnsi="仿宋" w:eastAsia="仿宋_GB2312" w:cs="Times New Roman"/>
          <w:sz w:val="30"/>
          <w:szCs w:val="30"/>
        </w:rPr>
        <w:t>开户行：中国建设银行济南市天桥区支行</w:t>
      </w:r>
    </w:p>
    <w:p w14:paraId="32D33613">
      <w:pPr>
        <w:pStyle w:val="38"/>
        <w:spacing w:line="500" w:lineRule="exact"/>
        <w:ind w:firstLine="600"/>
        <w:rPr>
          <w:rFonts w:ascii="仿宋_GB2312" w:hAnsi="仿宋" w:eastAsia="仿宋_GB2312" w:cs="Times New Roman"/>
          <w:sz w:val="30"/>
          <w:szCs w:val="30"/>
        </w:rPr>
      </w:pPr>
      <w:r>
        <w:rPr>
          <w:rFonts w:hint="eastAsia" w:ascii="仿宋_GB2312" w:hAnsi="仿宋" w:eastAsia="仿宋_GB2312" w:cs="Times New Roman"/>
          <w:sz w:val="30"/>
          <w:szCs w:val="30"/>
        </w:rPr>
        <w:t>投标人需将付款证明发送至邮箱 。开标时，投标人须向招标人提供付款证明。中标单位的招标保证金在合同签订后的下一月返还到交纳账户；未中标单位的投标保证金在中标结果公布后的下一月返还到交纳账户；开标现场被判定为否决单位的，其投标保证金在开标之后的下一月返还到交纳账户。</w:t>
      </w:r>
    </w:p>
    <w:p w14:paraId="309222C0">
      <w:pPr>
        <w:pStyle w:val="38"/>
        <w:spacing w:line="500" w:lineRule="exact"/>
        <w:ind w:firstLine="600"/>
        <w:rPr>
          <w:rFonts w:ascii="仿宋_GB2312" w:hAnsi="仿宋" w:eastAsia="仿宋_GB2312" w:cs="Times New Roman"/>
          <w:sz w:val="30"/>
          <w:szCs w:val="30"/>
        </w:rPr>
      </w:pPr>
      <w:r>
        <w:rPr>
          <w:rFonts w:hint="eastAsia" w:ascii="仿宋_GB2312" w:hAnsi="仿宋" w:eastAsia="仿宋_GB2312" w:cs="Times New Roman"/>
          <w:sz w:val="30"/>
          <w:szCs w:val="30"/>
        </w:rPr>
        <w:t>发生以下情况时，招标人有权没收投标保证金：</w:t>
      </w:r>
    </w:p>
    <w:p w14:paraId="6DCF4826">
      <w:pPr>
        <w:pStyle w:val="38"/>
        <w:spacing w:line="500" w:lineRule="exact"/>
        <w:ind w:firstLine="600"/>
        <w:rPr>
          <w:rFonts w:ascii="仿宋_GB2312" w:hAnsi="仿宋" w:eastAsia="仿宋_GB2312" w:cs="Times New Roman"/>
          <w:sz w:val="30"/>
          <w:szCs w:val="30"/>
        </w:rPr>
      </w:pPr>
      <w:r>
        <w:rPr>
          <w:rFonts w:hint="eastAsia" w:ascii="仿宋_GB2312" w:hAnsi="仿宋" w:eastAsia="仿宋_GB2312" w:cs="Times New Roman"/>
          <w:sz w:val="30"/>
          <w:szCs w:val="30"/>
        </w:rPr>
        <w:t>a）截至开标前 3 天，投标人无正当理由、未以书面形式向招标人递交说明而在投标截止日不来投标的；</w:t>
      </w:r>
    </w:p>
    <w:p w14:paraId="0769F9F7">
      <w:pPr>
        <w:pStyle w:val="38"/>
        <w:spacing w:line="500" w:lineRule="exact"/>
        <w:ind w:firstLine="600"/>
        <w:rPr>
          <w:rFonts w:ascii="仿宋_GB2312" w:hAnsi="仿宋" w:eastAsia="仿宋_GB2312" w:cs="Times New Roman"/>
          <w:sz w:val="30"/>
          <w:szCs w:val="30"/>
        </w:rPr>
      </w:pPr>
      <w:r>
        <w:rPr>
          <w:rFonts w:hint="eastAsia" w:ascii="仿宋_GB2312" w:hAnsi="仿宋" w:eastAsia="仿宋_GB2312" w:cs="Times New Roman"/>
          <w:sz w:val="30"/>
          <w:szCs w:val="30"/>
        </w:rPr>
        <w:t>b）投标人递送投标文件后，无正当理由放弃投标的；</w:t>
      </w:r>
    </w:p>
    <w:p w14:paraId="1F5BEED3">
      <w:pPr>
        <w:pStyle w:val="38"/>
        <w:spacing w:line="500" w:lineRule="exact"/>
        <w:ind w:firstLine="600"/>
        <w:rPr>
          <w:rFonts w:ascii="仿宋_GB2312" w:hAnsi="仿宋" w:eastAsia="仿宋_GB2312" w:cs="Times New Roman"/>
          <w:sz w:val="30"/>
          <w:szCs w:val="30"/>
        </w:rPr>
      </w:pPr>
      <w:r>
        <w:rPr>
          <w:rFonts w:hint="eastAsia" w:ascii="仿宋_GB2312" w:hAnsi="仿宋" w:eastAsia="仿宋_GB2312" w:cs="Times New Roman"/>
          <w:sz w:val="30"/>
          <w:szCs w:val="30"/>
        </w:rPr>
        <w:t>c）自中标通知书发出之日起 30 日内，中标人无正当理由不与招标人签订合同的；</w:t>
      </w:r>
    </w:p>
    <w:p w14:paraId="3701EB99">
      <w:pPr>
        <w:pStyle w:val="38"/>
        <w:spacing w:line="500" w:lineRule="exact"/>
        <w:ind w:firstLine="600"/>
        <w:rPr>
          <w:rFonts w:ascii="仿宋_GB2312" w:hAnsi="仿宋" w:eastAsia="仿宋_GB2312" w:cs="Times New Roman"/>
          <w:sz w:val="30"/>
          <w:szCs w:val="30"/>
        </w:rPr>
      </w:pPr>
      <w:r>
        <w:rPr>
          <w:rFonts w:hint="eastAsia" w:ascii="仿宋_GB2312" w:hAnsi="仿宋" w:eastAsia="仿宋_GB2312" w:cs="Times New Roman"/>
          <w:sz w:val="30"/>
          <w:szCs w:val="30"/>
        </w:rPr>
        <w:t>d）投标人在投标过程中被查实有串标、围标、陪标等违法违纪行为的；</w:t>
      </w:r>
    </w:p>
    <w:p w14:paraId="2140B6E8">
      <w:pPr>
        <w:pStyle w:val="38"/>
        <w:spacing w:line="500" w:lineRule="exact"/>
        <w:ind w:firstLine="600"/>
        <w:rPr>
          <w:rFonts w:ascii="仿宋_GB2312" w:hAnsi="仿宋" w:eastAsia="仿宋_GB2312" w:cs="Times New Roman"/>
          <w:sz w:val="30"/>
          <w:szCs w:val="30"/>
        </w:rPr>
      </w:pPr>
      <w:r>
        <w:rPr>
          <w:rFonts w:hint="eastAsia" w:ascii="仿宋_GB2312" w:hAnsi="仿宋" w:eastAsia="仿宋_GB2312" w:cs="Times New Roman"/>
          <w:sz w:val="30"/>
          <w:szCs w:val="30"/>
        </w:rPr>
        <w:t>e）投标人有违约违规行为或被投诉、举报的，在调查处理期间，保证金暂不退还，待调查处理结束后按有关规定处理。</w:t>
      </w:r>
    </w:p>
    <w:p w14:paraId="7E1CEEF3">
      <w:pPr>
        <w:spacing w:line="500" w:lineRule="exact"/>
        <w:ind w:firstLine="602" w:firstLineChars="200"/>
        <w:jc w:val="left"/>
        <w:outlineLvl w:val="1"/>
        <w:rPr>
          <w:rFonts w:ascii="楷体_GB2312" w:hAnsi="楷体_GB2312" w:eastAsia="楷体_GB2312" w:cs="楷体_GB2312"/>
          <w:b/>
          <w:bCs/>
          <w:sz w:val="30"/>
          <w:szCs w:val="30"/>
        </w:rPr>
      </w:pPr>
      <w:r>
        <w:rPr>
          <w:rFonts w:hint="eastAsia" w:ascii="楷体_GB2312" w:hAnsi="楷体_GB2312" w:eastAsia="楷体_GB2312" w:cs="楷体_GB2312"/>
          <w:b/>
          <w:bCs/>
          <w:sz w:val="30"/>
          <w:szCs w:val="30"/>
        </w:rPr>
        <w:t>4.投标报价</w:t>
      </w:r>
    </w:p>
    <w:p w14:paraId="7BD5C66A">
      <w:pPr>
        <w:pStyle w:val="10"/>
        <w:spacing w:line="500" w:lineRule="exact"/>
        <w:ind w:firstLine="600" w:firstLineChars="200"/>
        <w:rPr>
          <w:rFonts w:ascii="仿宋_GB2312" w:hAnsi="仿宋" w:eastAsia="仿宋_GB2312" w:cs="Times New Roman"/>
          <w:color w:val="000000"/>
          <w:sz w:val="30"/>
          <w:szCs w:val="30"/>
        </w:rPr>
      </w:pPr>
      <w:r>
        <w:rPr>
          <w:rFonts w:hint="eastAsia" w:ascii="仿宋_GB2312" w:hAnsi="仿宋" w:eastAsia="仿宋_GB2312" w:cs="Times New Roman"/>
          <w:color w:val="000000"/>
          <w:sz w:val="30"/>
          <w:szCs w:val="30"/>
        </w:rPr>
        <w:t>4.1投标人须在投标截止日期前将电子标书上传到重汽e采通平台。若逾期未完成重汽e采通上传标书，投标无效。</w:t>
      </w:r>
    </w:p>
    <w:p w14:paraId="59FE04DC">
      <w:pPr>
        <w:pStyle w:val="10"/>
        <w:spacing w:line="500" w:lineRule="exact"/>
        <w:ind w:firstLine="600" w:firstLineChars="200"/>
        <w:rPr>
          <w:rFonts w:ascii="仿宋_GB2312" w:hAnsi="仿宋" w:eastAsia="仿宋_GB2312" w:cs="Times New Roman"/>
          <w:color w:val="000000"/>
          <w:sz w:val="30"/>
          <w:szCs w:val="30"/>
        </w:rPr>
      </w:pPr>
      <w:r>
        <w:rPr>
          <w:rFonts w:hint="eastAsia" w:ascii="仿宋_GB2312" w:hAnsi="仿宋" w:eastAsia="仿宋_GB2312" w:cs="Times New Roman"/>
          <w:color w:val="000000"/>
          <w:sz w:val="30"/>
          <w:szCs w:val="30"/>
        </w:rPr>
        <w:t>4.2投标报价应包括培训课程开发及师资、培训物料等全部费用，除此之外，采购方无需支付任何费用。</w:t>
      </w:r>
    </w:p>
    <w:p w14:paraId="32CC7EC9">
      <w:pPr>
        <w:pStyle w:val="10"/>
        <w:spacing w:line="500" w:lineRule="exact"/>
        <w:ind w:firstLine="600" w:firstLineChars="200"/>
        <w:rPr>
          <w:rFonts w:hint="eastAsia" w:ascii="仿宋_GB2312" w:hAnsi="仿宋" w:eastAsia="仿宋_GB2312" w:cs="Times New Roman"/>
          <w:color w:val="000000"/>
          <w:sz w:val="30"/>
          <w:szCs w:val="30"/>
        </w:rPr>
      </w:pPr>
      <w:r>
        <w:rPr>
          <w:rFonts w:hint="eastAsia" w:ascii="仿宋_GB2312" w:hAnsi="仿宋" w:eastAsia="仿宋_GB2312" w:cs="Times New Roman"/>
          <w:color w:val="000000"/>
          <w:sz w:val="30"/>
          <w:szCs w:val="30"/>
        </w:rPr>
        <w:t>4.3报价货币单位为元（人民币），报价时须注明不含税价、税率以及价税合计等信息。</w:t>
      </w:r>
    </w:p>
    <w:p w14:paraId="1B4ED9B6">
      <w:pPr>
        <w:pStyle w:val="10"/>
        <w:spacing w:line="500" w:lineRule="exact"/>
        <w:ind w:firstLine="600" w:firstLineChars="200"/>
        <w:rPr>
          <w:rFonts w:hint="default" w:ascii="黑体" w:hAnsi="黑体" w:eastAsia="黑体" w:cs="黑体"/>
          <w:b/>
          <w:bCs/>
          <w:kern w:val="2"/>
          <w:sz w:val="30"/>
          <w:szCs w:val="30"/>
          <w:lang w:val="en-US" w:eastAsia="zh-CN" w:bidi="ar-SA"/>
        </w:rPr>
      </w:pPr>
      <w:r>
        <w:rPr>
          <w:rFonts w:hint="eastAsia" w:ascii="仿宋_GB2312" w:hAnsi="仿宋" w:eastAsia="仿宋_GB2312" w:cs="Times New Roman"/>
          <w:color w:val="000000"/>
          <w:sz w:val="30"/>
          <w:szCs w:val="30"/>
          <w:lang w:val="en-US" w:eastAsia="zh-CN"/>
        </w:rPr>
        <w:t>4.4投标限价：</w:t>
      </w:r>
      <w:r>
        <w:rPr>
          <w:rFonts w:hint="eastAsia" w:ascii="黑体" w:hAnsi="黑体" w:eastAsia="黑体" w:cs="黑体"/>
          <w:b/>
          <w:bCs/>
          <w:kern w:val="2"/>
          <w:sz w:val="30"/>
          <w:szCs w:val="30"/>
          <w:lang w:val="en-US" w:eastAsia="zh-CN" w:bidi="ar-SA"/>
        </w:rPr>
        <w:t>人民币89.5万元（含税），超过该价格无法投标。</w:t>
      </w:r>
    </w:p>
    <w:p w14:paraId="315BB15F">
      <w:pPr>
        <w:spacing w:line="500" w:lineRule="exact"/>
        <w:ind w:firstLine="602" w:firstLineChars="200"/>
        <w:jc w:val="left"/>
        <w:outlineLvl w:val="1"/>
        <w:rPr>
          <w:rFonts w:ascii="楷体_GB2312" w:hAnsi="楷体_GB2312" w:eastAsia="楷体_GB2312" w:cs="楷体_GB2312"/>
          <w:b/>
          <w:bCs/>
          <w:sz w:val="30"/>
          <w:szCs w:val="30"/>
        </w:rPr>
      </w:pPr>
      <w:r>
        <w:rPr>
          <w:rFonts w:hint="eastAsia" w:ascii="楷体_GB2312" w:hAnsi="楷体_GB2312" w:eastAsia="楷体_GB2312" w:cs="楷体_GB2312"/>
          <w:b/>
          <w:bCs/>
          <w:sz w:val="30"/>
          <w:szCs w:val="30"/>
        </w:rPr>
        <w:t>5.评标过程</w:t>
      </w:r>
    </w:p>
    <w:p w14:paraId="7B3DD6A2">
      <w:pPr>
        <w:spacing w:line="500" w:lineRule="exact"/>
        <w:ind w:firstLine="600" w:firstLineChars="200"/>
        <w:rPr>
          <w:rFonts w:ascii="黑体" w:hAnsi="黑体" w:eastAsia="黑体" w:cs="黑体"/>
          <w:b/>
          <w:bCs/>
          <w:sz w:val="30"/>
          <w:szCs w:val="30"/>
        </w:rPr>
      </w:pPr>
      <w:r>
        <w:rPr>
          <w:rFonts w:hint="eastAsia" w:ascii="仿宋_GB2312" w:hAnsi="仿宋" w:eastAsia="仿宋_GB2312"/>
          <w:sz w:val="30"/>
          <w:szCs w:val="30"/>
        </w:rPr>
        <w:t>为保证项目顺利实施，由招标人组织、按国家法律法规及公司相关规章制度要求，设立评标工作小组，投标人在讲标时，须由拟担任招标项目的项目经理及项目组成员讲标，其中：讲标20分钟，现场答疑时间20分钟。</w:t>
      </w:r>
      <w:r>
        <w:rPr>
          <w:rFonts w:hint="eastAsia" w:ascii="黑体" w:hAnsi="黑体" w:eastAsia="黑体" w:cs="黑体"/>
          <w:b/>
          <w:bCs/>
          <w:sz w:val="30"/>
          <w:szCs w:val="30"/>
        </w:rPr>
        <w:t xml:space="preserve">  </w:t>
      </w:r>
    </w:p>
    <w:p w14:paraId="2B2D176F">
      <w:pPr>
        <w:spacing w:line="500" w:lineRule="exact"/>
        <w:ind w:firstLine="600" w:firstLineChars="200"/>
        <w:rPr>
          <w:rFonts w:ascii="仿宋_GB2312" w:hAnsi="仿宋" w:eastAsia="仿宋_GB2312"/>
          <w:sz w:val="30"/>
          <w:szCs w:val="30"/>
        </w:rPr>
      </w:pPr>
      <w:r>
        <w:rPr>
          <w:rFonts w:hint="eastAsia" w:ascii="仿宋_GB2312" w:hAnsi="仿宋" w:eastAsia="仿宋_GB2312"/>
          <w:sz w:val="30"/>
          <w:szCs w:val="30"/>
        </w:rPr>
        <w:t>5.1通过应标资格审查，报名成功的单位进入投标环节，按照“SRM系统供应商用户手册”，在重汽e采通平台投递电子标书（包含资质标、技术标、商务标），没有通过应标资质审查的单位不能进入投标环节；</w:t>
      </w:r>
    </w:p>
    <w:p w14:paraId="17536EB7">
      <w:pPr>
        <w:spacing w:line="500" w:lineRule="exact"/>
        <w:ind w:firstLine="600" w:firstLineChars="200"/>
        <w:rPr>
          <w:rFonts w:ascii="仿宋_GB2312" w:hAnsi="仿宋" w:eastAsia="仿宋_GB2312"/>
          <w:sz w:val="30"/>
          <w:szCs w:val="30"/>
        </w:rPr>
      </w:pPr>
      <w:r>
        <w:rPr>
          <w:rFonts w:hint="eastAsia" w:ascii="仿宋_GB2312" w:hAnsi="仿宋" w:eastAsia="仿宋_GB2312"/>
          <w:sz w:val="30"/>
          <w:szCs w:val="30"/>
        </w:rPr>
        <w:t>5.2资质标评审：招标人通过重汽e采通平台对投标人的的《资质标》进行审核，审核通过的单位，进入技术标评审；</w:t>
      </w:r>
    </w:p>
    <w:p w14:paraId="71508864">
      <w:pPr>
        <w:spacing w:line="500" w:lineRule="exact"/>
        <w:ind w:firstLine="600" w:firstLineChars="200"/>
        <w:rPr>
          <w:rFonts w:ascii="黑体" w:hAnsi="黑体" w:eastAsia="黑体" w:cs="黑体"/>
          <w:b/>
          <w:bCs/>
          <w:sz w:val="30"/>
          <w:szCs w:val="30"/>
        </w:rPr>
      </w:pPr>
      <w:r>
        <w:rPr>
          <w:rFonts w:hint="eastAsia" w:ascii="仿宋_GB2312" w:hAnsi="仿宋" w:eastAsia="仿宋_GB2312"/>
          <w:sz w:val="30"/>
          <w:szCs w:val="30"/>
        </w:rPr>
        <w:t>5.3技术标评审：技术标评标专家组，通过重汽e采通，对各投标人的《技术标》进行综合评审；评审期间产生的技术澄清均由投标人在重汽e采通平台内完成提交；</w:t>
      </w:r>
      <w:r>
        <w:rPr>
          <w:rFonts w:hint="eastAsia" w:ascii="黑体" w:hAnsi="黑体" w:eastAsia="黑体" w:cs="黑体"/>
          <w:b/>
          <w:bCs/>
          <w:sz w:val="30"/>
          <w:szCs w:val="30"/>
        </w:rPr>
        <w:t>本次招标采用技术标和商务标分级开标的模式，技术标评分低于80分予以淘汰；</w:t>
      </w:r>
    </w:p>
    <w:p w14:paraId="2E214331">
      <w:pPr>
        <w:spacing w:line="500" w:lineRule="exact"/>
        <w:ind w:firstLine="600" w:firstLineChars="200"/>
        <w:rPr>
          <w:rFonts w:ascii="仿宋_GB2312" w:hAnsi="仿宋" w:eastAsia="仿宋_GB2312"/>
          <w:sz w:val="30"/>
          <w:szCs w:val="30"/>
        </w:rPr>
      </w:pPr>
      <w:r>
        <w:rPr>
          <w:rFonts w:hint="eastAsia" w:ascii="仿宋_GB2312" w:hAnsi="仿宋" w:eastAsia="仿宋_GB2312"/>
          <w:sz w:val="30"/>
          <w:szCs w:val="30"/>
        </w:rPr>
        <w:t>5.4商务标评审：公开唱标→商务条款相应确认→价格澄清→商务标评审，采用多轮商务谈判。评审期间产生的商务价格澄清均由投标人在重汽e采通平台内限时完成提交；</w:t>
      </w:r>
    </w:p>
    <w:p w14:paraId="76E35894">
      <w:pPr>
        <w:spacing w:line="500" w:lineRule="exact"/>
        <w:ind w:firstLine="600" w:firstLineChars="200"/>
        <w:rPr>
          <w:rFonts w:ascii="仿宋_GB2312" w:hAnsi="仿宋" w:eastAsia="仿宋_GB2312"/>
          <w:sz w:val="30"/>
          <w:szCs w:val="30"/>
        </w:rPr>
      </w:pPr>
      <w:r>
        <w:rPr>
          <w:rFonts w:hint="eastAsia" w:ascii="仿宋_GB2312" w:hAnsi="仿宋" w:eastAsia="仿宋_GB2312"/>
          <w:sz w:val="30"/>
          <w:szCs w:val="30"/>
        </w:rPr>
        <w:t xml:space="preserve"> 注意：投标人均需自带笔记本电脑在重汽e采通平台自主进行投标和提交澄清函；投标和提交澄清函均有时间限制，超时未提交的按无效处理。  </w:t>
      </w:r>
    </w:p>
    <w:p w14:paraId="5941192B">
      <w:pPr>
        <w:spacing w:line="500" w:lineRule="exact"/>
        <w:ind w:firstLine="600" w:firstLineChars="200"/>
        <w:rPr>
          <w:rFonts w:ascii="仿宋_GB2312" w:hAnsi="仿宋" w:eastAsia="仿宋_GB2312"/>
          <w:sz w:val="30"/>
          <w:szCs w:val="30"/>
        </w:rPr>
      </w:pPr>
      <w:r>
        <w:rPr>
          <w:rFonts w:hint="eastAsia" w:ascii="仿宋_GB2312" w:hAnsi="仿宋" w:eastAsia="仿宋_GB2312"/>
          <w:sz w:val="30"/>
          <w:szCs w:val="30"/>
        </w:rPr>
        <w:t>5.5中标人确定：</w:t>
      </w:r>
      <w:r>
        <w:rPr>
          <w:rFonts w:hint="eastAsia" w:ascii="黑体" w:hAnsi="黑体" w:eastAsia="黑体" w:cs="黑体"/>
          <w:b/>
          <w:bCs/>
          <w:sz w:val="30"/>
          <w:szCs w:val="30"/>
        </w:rPr>
        <w:t>技术标入围后，综合考虑技术标得分、商务标得分，加权最终得分推荐</w:t>
      </w:r>
      <w:r>
        <w:rPr>
          <w:rFonts w:hint="eastAsia" w:ascii="黑体" w:hAnsi="黑体" w:eastAsia="黑体" w:cs="黑体"/>
          <w:b/>
          <w:bCs/>
          <w:sz w:val="30"/>
          <w:szCs w:val="30"/>
          <w:lang w:val="en-US" w:eastAsia="zh-CN"/>
        </w:rPr>
        <w:t>中标候选人</w:t>
      </w:r>
      <w:r>
        <w:rPr>
          <w:rFonts w:hint="eastAsia" w:ascii="黑体" w:hAnsi="黑体" w:eastAsia="黑体" w:cs="黑体"/>
          <w:b/>
          <w:bCs/>
          <w:sz w:val="30"/>
          <w:szCs w:val="30"/>
        </w:rPr>
        <w:t>（最终得分=技术标得分*50%+商务标得分*50%，保留两位小数）。</w:t>
      </w:r>
      <w:r>
        <w:rPr>
          <w:rFonts w:hint="eastAsia" w:ascii="仿宋_GB2312" w:hAnsi="仿宋" w:eastAsia="仿宋_GB2312"/>
          <w:sz w:val="30"/>
          <w:szCs w:val="30"/>
        </w:rPr>
        <w:t>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的，则本次评标作废或变更意向中标人。</w:t>
      </w:r>
    </w:p>
    <w:p w14:paraId="5EEADA98">
      <w:pPr>
        <w:spacing w:line="500" w:lineRule="exact"/>
        <w:ind w:firstLine="602" w:firstLineChars="200"/>
        <w:jc w:val="left"/>
        <w:outlineLvl w:val="1"/>
        <w:rPr>
          <w:rFonts w:ascii="楷体_GB2312" w:hAnsi="楷体_GB2312" w:eastAsia="楷体_GB2312" w:cs="楷体_GB2312"/>
          <w:b/>
          <w:bCs/>
          <w:sz w:val="30"/>
          <w:szCs w:val="30"/>
        </w:rPr>
      </w:pPr>
      <w:r>
        <w:rPr>
          <w:rFonts w:hint="eastAsia" w:ascii="楷体_GB2312" w:hAnsi="楷体_GB2312" w:eastAsia="楷体_GB2312" w:cs="楷体_GB2312"/>
          <w:b/>
          <w:bCs/>
          <w:sz w:val="30"/>
          <w:szCs w:val="30"/>
          <w:lang w:val="en-US" w:eastAsia="zh-CN"/>
        </w:rPr>
        <w:t>6</w:t>
      </w:r>
      <w:r>
        <w:rPr>
          <w:rFonts w:hint="eastAsia" w:ascii="楷体_GB2312" w:hAnsi="楷体_GB2312" w:eastAsia="楷体_GB2312" w:cs="楷体_GB2312"/>
          <w:b/>
          <w:bCs/>
          <w:sz w:val="30"/>
          <w:szCs w:val="30"/>
        </w:rPr>
        <w:t>.付款条件及付款方式</w:t>
      </w:r>
    </w:p>
    <w:p w14:paraId="2012D520">
      <w:pPr>
        <w:autoSpaceDE w:val="0"/>
        <w:autoSpaceDN w:val="0"/>
        <w:adjustRightInd w:val="0"/>
        <w:spacing w:line="500" w:lineRule="exact"/>
        <w:ind w:firstLine="600" w:firstLineChars="200"/>
        <w:jc w:val="left"/>
        <w:rPr>
          <w:rFonts w:ascii="仿宋_GB2312" w:hAnsi="仿宋" w:eastAsia="仿宋_GB2312"/>
          <w:sz w:val="30"/>
          <w:szCs w:val="30"/>
        </w:rPr>
      </w:pPr>
      <w:r>
        <w:rPr>
          <w:rFonts w:hint="eastAsia" w:ascii="仿宋_GB2312" w:hAnsi="仿宋" w:eastAsia="仿宋_GB2312"/>
          <w:sz w:val="30"/>
          <w:szCs w:val="30"/>
          <w:lang w:val="en-US" w:eastAsia="zh-CN"/>
        </w:rPr>
        <w:t>6</w:t>
      </w:r>
      <w:r>
        <w:rPr>
          <w:rFonts w:hint="eastAsia" w:ascii="仿宋_GB2312" w:hAnsi="仿宋" w:eastAsia="仿宋_GB2312"/>
          <w:sz w:val="30"/>
          <w:szCs w:val="30"/>
        </w:rPr>
        <w:t>.1付款条件：投标人完成合同约定的服务事项，且在服务过程中无明显纰漏，经招标人对服务完成情况确认后进行结算。对于特殊情形，经双方协商一致可以适当延期或变更支付条件。</w:t>
      </w:r>
    </w:p>
    <w:p w14:paraId="14DD5BFF">
      <w:pPr>
        <w:autoSpaceDE w:val="0"/>
        <w:autoSpaceDN w:val="0"/>
        <w:adjustRightInd w:val="0"/>
        <w:spacing w:line="500" w:lineRule="exact"/>
        <w:ind w:firstLine="600" w:firstLineChars="200"/>
        <w:jc w:val="left"/>
        <w:rPr>
          <w:rFonts w:ascii="仿宋_GB2312" w:hAnsi="仿宋" w:eastAsia="仿宋_GB2312"/>
          <w:sz w:val="30"/>
          <w:szCs w:val="30"/>
        </w:rPr>
      </w:pPr>
      <w:r>
        <w:rPr>
          <w:rFonts w:hint="eastAsia" w:ascii="仿宋_GB2312" w:hAnsi="仿宋" w:eastAsia="仿宋_GB2312"/>
          <w:sz w:val="30"/>
          <w:szCs w:val="30"/>
          <w:lang w:val="en-US" w:eastAsia="zh-CN"/>
        </w:rPr>
        <w:t>6</w:t>
      </w:r>
      <w:r>
        <w:rPr>
          <w:rFonts w:hint="eastAsia" w:ascii="仿宋_GB2312" w:hAnsi="仿宋" w:eastAsia="仿宋_GB2312"/>
          <w:sz w:val="30"/>
          <w:szCs w:val="30"/>
        </w:rPr>
        <w:t>.2付款方式：</w:t>
      </w:r>
      <w:r>
        <w:rPr>
          <w:rFonts w:hint="eastAsia" w:ascii="黑体" w:hAnsi="黑体" w:eastAsia="黑体" w:cs="黑体"/>
          <w:b/>
          <w:bCs/>
          <w:sz w:val="30"/>
          <w:szCs w:val="30"/>
        </w:rPr>
        <w:t>半年期商业汇票（银行承兑汇票或商业承兑汇票）。</w:t>
      </w:r>
      <w:r>
        <w:rPr>
          <w:rFonts w:hint="eastAsia" w:ascii="仿宋_GB2312" w:hAnsi="仿宋" w:eastAsia="仿宋_GB2312"/>
          <w:sz w:val="30"/>
          <w:szCs w:val="30"/>
        </w:rPr>
        <w:t>乙方按照合同约定提供培训服务，提交金额为合同价款100%的收据，并向甲方开具符合法律规定的增值税专用发票，甲方收到发票后30个工作日内支付发票载明的采购费用。</w:t>
      </w:r>
    </w:p>
    <w:p w14:paraId="3890F38B">
      <w:pPr>
        <w:spacing w:line="500" w:lineRule="exact"/>
        <w:ind w:firstLine="602" w:firstLineChars="200"/>
        <w:jc w:val="left"/>
        <w:outlineLvl w:val="1"/>
        <w:rPr>
          <w:rFonts w:ascii="楷体_GB2312" w:hAnsi="楷体_GB2312" w:eastAsia="楷体_GB2312" w:cs="楷体_GB2312"/>
          <w:b/>
          <w:bCs/>
          <w:sz w:val="30"/>
          <w:szCs w:val="30"/>
        </w:rPr>
      </w:pPr>
      <w:r>
        <w:rPr>
          <w:rFonts w:hint="eastAsia" w:ascii="楷体_GB2312" w:hAnsi="楷体_GB2312" w:eastAsia="楷体_GB2312" w:cs="楷体_GB2312"/>
          <w:b/>
          <w:bCs/>
          <w:sz w:val="30"/>
          <w:szCs w:val="30"/>
          <w:lang w:val="en-US" w:eastAsia="zh-CN"/>
        </w:rPr>
        <w:t>7</w:t>
      </w:r>
      <w:r>
        <w:rPr>
          <w:rFonts w:hint="eastAsia" w:ascii="楷体_GB2312" w:hAnsi="楷体_GB2312" w:eastAsia="楷体_GB2312" w:cs="楷体_GB2312"/>
          <w:b/>
          <w:bCs/>
          <w:sz w:val="30"/>
          <w:szCs w:val="30"/>
        </w:rPr>
        <w:t>.评标原则和评分标准</w:t>
      </w:r>
    </w:p>
    <w:p w14:paraId="077BD93B">
      <w:pPr>
        <w:spacing w:line="500" w:lineRule="exact"/>
        <w:ind w:firstLine="600" w:firstLineChars="200"/>
        <w:jc w:val="left"/>
        <w:rPr>
          <w:rFonts w:ascii="仿宋_GB2312" w:hAnsi="仿宋" w:eastAsia="仿宋_GB2312"/>
          <w:sz w:val="30"/>
          <w:szCs w:val="30"/>
        </w:rPr>
      </w:pPr>
      <w:r>
        <w:rPr>
          <w:rFonts w:hint="eastAsia" w:ascii="仿宋_GB2312" w:hAnsi="仿宋" w:eastAsia="仿宋_GB2312"/>
          <w:sz w:val="30"/>
          <w:szCs w:val="30"/>
          <w:lang w:val="en-US" w:eastAsia="zh-CN"/>
        </w:rPr>
        <w:t>7</w:t>
      </w:r>
      <w:r>
        <w:rPr>
          <w:rFonts w:hint="eastAsia" w:ascii="仿宋_GB2312" w:hAnsi="仿宋" w:eastAsia="仿宋_GB2312"/>
          <w:sz w:val="30"/>
          <w:szCs w:val="30"/>
        </w:rPr>
        <w:t>.1评标工作由招标人为该项目依法组织的、由3人及以上单数成员组成的评标工作小组负责。由评标工作小组按照国家招投标有关规定，本着公平、公正、公开、有序的原则，在最大限度地满足招标文件实质性要求的前提下，按照招标文件中规定的各项因素进行评审。</w:t>
      </w:r>
    </w:p>
    <w:p w14:paraId="3C282479">
      <w:pPr>
        <w:spacing w:line="500" w:lineRule="exact"/>
        <w:ind w:firstLine="600" w:firstLineChars="200"/>
        <w:jc w:val="left"/>
        <w:outlineLvl w:val="2"/>
        <w:rPr>
          <w:rFonts w:ascii="方正小标宋简体" w:hAnsi="方正小标宋简体" w:eastAsia="方正小标宋简体" w:cs="方正小标宋简体"/>
          <w:b/>
          <w:bCs/>
          <w:sz w:val="40"/>
          <w:szCs w:val="40"/>
        </w:rPr>
      </w:pPr>
      <w:r>
        <w:rPr>
          <w:rFonts w:hint="eastAsia" w:ascii="仿宋_GB2312" w:hAnsi="仿宋" w:eastAsia="仿宋_GB2312"/>
          <w:sz w:val="30"/>
          <w:szCs w:val="30"/>
        </w:rPr>
        <w:t>（1）技术标评分标准如下：</w:t>
      </w:r>
    </w:p>
    <w:tbl>
      <w:tblPr>
        <w:tblStyle w:val="18"/>
        <w:tblW w:w="981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25"/>
        <w:gridCol w:w="1420"/>
        <w:gridCol w:w="4520"/>
        <w:gridCol w:w="2210"/>
        <w:gridCol w:w="544"/>
      </w:tblGrid>
      <w:tr w14:paraId="161FF2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9" w:hRule="atLeast"/>
          <w:jc w:val="center"/>
        </w:trPr>
        <w:tc>
          <w:tcPr>
            <w:tcW w:w="1125" w:type="dxa"/>
            <w:vAlign w:val="center"/>
          </w:tcPr>
          <w:p w14:paraId="06B13CD4">
            <w:pPr>
              <w:widowControl/>
              <w:spacing w:line="300" w:lineRule="exact"/>
              <w:jc w:val="center"/>
              <w:rPr>
                <w:rFonts w:ascii="CIDFont" w:hAnsi="CIDFont" w:eastAsia="CIDFont" w:cs="CIDFont"/>
                <w:b/>
                <w:bCs/>
                <w:color w:val="000000"/>
                <w:kern w:val="0"/>
                <w:sz w:val="20"/>
                <w:lang w:bidi="ar"/>
              </w:rPr>
            </w:pPr>
            <w:r>
              <w:rPr>
                <w:rFonts w:hint="eastAsia" w:cs="CIDFont" w:asciiTheme="minorEastAsia" w:hAnsiTheme="minorEastAsia" w:eastAsiaTheme="minorEastAsia"/>
                <w:b/>
                <w:bCs/>
                <w:color w:val="000000"/>
                <w:kern w:val="0"/>
                <w:sz w:val="20"/>
                <w:lang w:bidi="ar"/>
              </w:rPr>
              <w:t>项目</w:t>
            </w:r>
          </w:p>
        </w:tc>
        <w:tc>
          <w:tcPr>
            <w:tcW w:w="1420" w:type="dxa"/>
            <w:shd w:val="clear" w:color="auto" w:fill="auto"/>
            <w:vAlign w:val="center"/>
          </w:tcPr>
          <w:p w14:paraId="07AAD0AF">
            <w:pPr>
              <w:widowControl/>
              <w:spacing w:line="300" w:lineRule="exact"/>
              <w:jc w:val="center"/>
              <w:rPr>
                <w:rFonts w:ascii="CIDFont" w:hAnsi="CIDFont" w:eastAsia="CIDFont" w:cs="CIDFont"/>
                <w:b/>
                <w:bCs/>
                <w:color w:val="000000"/>
                <w:kern w:val="0"/>
                <w:sz w:val="20"/>
                <w:lang w:bidi="ar"/>
              </w:rPr>
            </w:pPr>
            <w:r>
              <w:rPr>
                <w:rFonts w:hint="eastAsia" w:ascii="CIDFont" w:hAnsi="CIDFont" w:eastAsia="CIDFont" w:cs="CIDFont"/>
                <w:b/>
                <w:bCs/>
                <w:color w:val="000000"/>
                <w:kern w:val="0"/>
                <w:sz w:val="20"/>
                <w:lang w:bidi="ar"/>
              </w:rPr>
              <w:t>细则</w:t>
            </w:r>
          </w:p>
        </w:tc>
        <w:tc>
          <w:tcPr>
            <w:tcW w:w="6730" w:type="dxa"/>
            <w:gridSpan w:val="2"/>
            <w:shd w:val="clear" w:color="auto" w:fill="auto"/>
            <w:vAlign w:val="center"/>
          </w:tcPr>
          <w:p w14:paraId="3B93FAC7">
            <w:pPr>
              <w:widowControl/>
              <w:spacing w:line="300" w:lineRule="exact"/>
              <w:jc w:val="center"/>
              <w:rPr>
                <w:rFonts w:ascii="CIDFont" w:hAnsi="CIDFont" w:eastAsia="CIDFont" w:cs="CIDFont"/>
                <w:b/>
                <w:bCs/>
                <w:color w:val="000000"/>
                <w:kern w:val="0"/>
                <w:sz w:val="20"/>
                <w:lang w:bidi="ar"/>
              </w:rPr>
            </w:pPr>
            <w:r>
              <w:rPr>
                <w:rFonts w:hint="eastAsia" w:ascii="CIDFont" w:hAnsi="CIDFont" w:eastAsia="CIDFont" w:cs="CIDFont"/>
                <w:b/>
                <w:bCs/>
                <w:color w:val="000000"/>
                <w:kern w:val="0"/>
                <w:sz w:val="20"/>
                <w:lang w:bidi="ar"/>
              </w:rPr>
              <w:t>技术标评分标准</w:t>
            </w:r>
          </w:p>
        </w:tc>
        <w:tc>
          <w:tcPr>
            <w:tcW w:w="544" w:type="dxa"/>
            <w:shd w:val="clear" w:color="auto" w:fill="auto"/>
            <w:vAlign w:val="center"/>
          </w:tcPr>
          <w:p w14:paraId="200821FF">
            <w:pPr>
              <w:widowControl/>
              <w:spacing w:line="300" w:lineRule="exact"/>
              <w:jc w:val="center"/>
              <w:rPr>
                <w:rFonts w:ascii="CIDFont" w:hAnsi="CIDFont" w:eastAsia="CIDFont" w:cs="CIDFont"/>
                <w:b/>
                <w:bCs/>
                <w:color w:val="000000"/>
                <w:kern w:val="0"/>
                <w:sz w:val="20"/>
                <w:lang w:bidi="ar"/>
              </w:rPr>
            </w:pPr>
            <w:r>
              <w:rPr>
                <w:rFonts w:hint="eastAsia" w:ascii="CIDFont" w:hAnsi="CIDFont" w:eastAsia="CIDFont" w:cs="CIDFont"/>
                <w:b/>
                <w:bCs/>
                <w:color w:val="000000"/>
                <w:kern w:val="0"/>
                <w:sz w:val="20"/>
                <w:lang w:bidi="ar"/>
              </w:rPr>
              <w:t>得分</w:t>
            </w:r>
          </w:p>
        </w:tc>
      </w:tr>
      <w:tr w14:paraId="42E858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09" w:hRule="atLeast"/>
          <w:jc w:val="center"/>
        </w:trPr>
        <w:tc>
          <w:tcPr>
            <w:tcW w:w="1125" w:type="dxa"/>
            <w:vMerge w:val="restart"/>
            <w:vAlign w:val="center"/>
          </w:tcPr>
          <w:p w14:paraId="174BFDD1">
            <w:pPr>
              <w:widowControl/>
              <w:spacing w:line="300" w:lineRule="exact"/>
              <w:jc w:val="center"/>
            </w:pPr>
            <w:r>
              <w:rPr>
                <w:rFonts w:hint="eastAsia"/>
              </w:rPr>
              <w:t>技术标</w:t>
            </w:r>
          </w:p>
          <w:p w14:paraId="07E6CDCA">
            <w:pPr>
              <w:widowControl/>
              <w:spacing w:line="300" w:lineRule="exact"/>
              <w:jc w:val="center"/>
              <w:rPr>
                <w:rFonts w:ascii="宋体" w:hAnsi="宋体" w:cstheme="minorBidi"/>
                <w:szCs w:val="21"/>
              </w:rPr>
            </w:pPr>
            <w:r>
              <w:rPr>
                <w:rFonts w:hint="eastAsia"/>
              </w:rPr>
              <w:t>（1</w:t>
            </w:r>
            <w:r>
              <w:t>00</w:t>
            </w:r>
            <w:r>
              <w:rPr>
                <w:rFonts w:hint="eastAsia"/>
              </w:rPr>
              <w:t>分）</w:t>
            </w:r>
          </w:p>
        </w:tc>
        <w:tc>
          <w:tcPr>
            <w:tcW w:w="1420" w:type="dxa"/>
            <w:shd w:val="clear" w:color="auto" w:fill="auto"/>
            <w:vAlign w:val="center"/>
          </w:tcPr>
          <w:p w14:paraId="5A4192DB">
            <w:pPr>
              <w:widowControl/>
              <w:spacing w:line="300" w:lineRule="exact"/>
              <w:jc w:val="center"/>
              <w:rPr>
                <w:rFonts w:ascii="宋体" w:hAnsi="宋体" w:cstheme="minorBidi"/>
                <w:szCs w:val="21"/>
              </w:rPr>
            </w:pPr>
            <w:r>
              <w:rPr>
                <w:rFonts w:hint="eastAsia" w:ascii="宋体" w:hAnsi="宋体" w:cstheme="minorBidi"/>
                <w:szCs w:val="21"/>
              </w:rPr>
              <w:t>投标方业绩</w:t>
            </w:r>
          </w:p>
          <w:p w14:paraId="6B179C44">
            <w:pPr>
              <w:widowControl/>
              <w:spacing w:line="300" w:lineRule="exact"/>
              <w:jc w:val="center"/>
              <w:rPr>
                <w:rFonts w:ascii="宋体" w:hAnsi="宋体" w:cstheme="minorBidi"/>
                <w:szCs w:val="21"/>
              </w:rPr>
            </w:pPr>
            <w:r>
              <w:rPr>
                <w:rFonts w:hint="eastAsia" w:ascii="宋体" w:hAnsi="宋体" w:cstheme="minorBidi"/>
                <w:szCs w:val="21"/>
              </w:rPr>
              <w:t>（20 分）</w:t>
            </w:r>
          </w:p>
        </w:tc>
        <w:tc>
          <w:tcPr>
            <w:tcW w:w="4520" w:type="dxa"/>
            <w:shd w:val="clear" w:color="auto" w:fill="auto"/>
            <w:vAlign w:val="center"/>
          </w:tcPr>
          <w:p w14:paraId="23964FCC">
            <w:pPr>
              <w:widowControl/>
              <w:spacing w:line="300" w:lineRule="exact"/>
              <w:jc w:val="left"/>
              <w:rPr>
                <w:rFonts w:ascii="宋体" w:hAnsi="宋体" w:cstheme="minorBidi"/>
                <w:szCs w:val="21"/>
              </w:rPr>
            </w:pPr>
            <w:r>
              <w:rPr>
                <w:rFonts w:hint="eastAsia" w:ascii="宋体" w:hAnsi="宋体" w:cstheme="minorBidi"/>
                <w:szCs w:val="21"/>
              </w:rPr>
              <w:t>1.合作单位、整车及相关行业案例（同行业加分）及业务拓展情况。整车行业或相关总成零部件合作一家得3分，最高15分。</w:t>
            </w:r>
          </w:p>
          <w:p w14:paraId="62C513C4">
            <w:pPr>
              <w:widowControl/>
              <w:spacing w:line="300" w:lineRule="exact"/>
              <w:jc w:val="left"/>
              <w:rPr>
                <w:rFonts w:ascii="宋体" w:hAnsi="宋体" w:cstheme="minorBidi"/>
                <w:szCs w:val="21"/>
              </w:rPr>
            </w:pPr>
            <w:r>
              <w:rPr>
                <w:rFonts w:hint="eastAsia" w:ascii="宋体" w:hAnsi="宋体" w:cstheme="minorBidi"/>
                <w:szCs w:val="21"/>
              </w:rPr>
              <w:t>2.取得的相关荣誉、信用等级和认证证书得5分，缺少的视情况得1-3分。</w:t>
            </w:r>
          </w:p>
        </w:tc>
        <w:tc>
          <w:tcPr>
            <w:tcW w:w="2210" w:type="dxa"/>
            <w:vMerge w:val="restart"/>
            <w:shd w:val="clear" w:color="auto" w:fill="auto"/>
            <w:vAlign w:val="center"/>
          </w:tcPr>
          <w:p w14:paraId="26C35BC5">
            <w:pPr>
              <w:widowControl/>
              <w:spacing w:line="300" w:lineRule="exact"/>
              <w:jc w:val="left"/>
              <w:rPr>
                <w:rFonts w:ascii="宋体" w:hAnsi="宋体" w:cstheme="minorBidi"/>
                <w:szCs w:val="21"/>
              </w:rPr>
            </w:pPr>
            <w:r>
              <w:rPr>
                <w:rFonts w:hint="eastAsia" w:ascii="宋体" w:hAnsi="宋体" w:cstheme="minorBidi"/>
                <w:szCs w:val="21"/>
              </w:rPr>
              <w:t>现场讲标。围绕投标方业绩、培训方案、服务承诺、投标方资质等方面阐述项目保障、计划、技术服务等。</w:t>
            </w:r>
          </w:p>
        </w:tc>
        <w:tc>
          <w:tcPr>
            <w:tcW w:w="544" w:type="dxa"/>
            <w:shd w:val="clear" w:color="auto" w:fill="auto"/>
            <w:vAlign w:val="center"/>
          </w:tcPr>
          <w:p w14:paraId="228E9B8A">
            <w:pPr>
              <w:widowControl/>
              <w:spacing w:line="300" w:lineRule="exact"/>
              <w:jc w:val="left"/>
              <w:rPr>
                <w:rFonts w:ascii="宋体" w:hAnsi="宋体" w:cstheme="minorBidi"/>
                <w:szCs w:val="21"/>
              </w:rPr>
            </w:pPr>
          </w:p>
        </w:tc>
      </w:tr>
      <w:tr w14:paraId="243734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60" w:hRule="atLeast"/>
          <w:jc w:val="center"/>
        </w:trPr>
        <w:tc>
          <w:tcPr>
            <w:tcW w:w="1125" w:type="dxa"/>
            <w:vMerge w:val="continue"/>
          </w:tcPr>
          <w:p w14:paraId="1A8C898D">
            <w:pPr>
              <w:widowControl/>
              <w:spacing w:line="300" w:lineRule="exact"/>
              <w:jc w:val="center"/>
              <w:rPr>
                <w:rFonts w:ascii="宋体" w:hAnsi="宋体" w:cstheme="minorBidi"/>
                <w:szCs w:val="21"/>
              </w:rPr>
            </w:pPr>
          </w:p>
        </w:tc>
        <w:tc>
          <w:tcPr>
            <w:tcW w:w="1420" w:type="dxa"/>
            <w:shd w:val="clear" w:color="auto" w:fill="auto"/>
            <w:vAlign w:val="center"/>
          </w:tcPr>
          <w:p w14:paraId="0F5053E7">
            <w:pPr>
              <w:widowControl/>
              <w:spacing w:line="300" w:lineRule="exact"/>
              <w:jc w:val="center"/>
              <w:rPr>
                <w:rFonts w:ascii="宋体" w:hAnsi="宋体" w:cstheme="minorBidi"/>
                <w:szCs w:val="21"/>
              </w:rPr>
            </w:pPr>
            <w:r>
              <w:rPr>
                <w:rFonts w:hint="eastAsia" w:ascii="宋体" w:hAnsi="宋体" w:cstheme="minorBidi"/>
                <w:szCs w:val="21"/>
              </w:rPr>
              <w:t>培训方案</w:t>
            </w:r>
          </w:p>
          <w:p w14:paraId="234B0C3E">
            <w:pPr>
              <w:widowControl/>
              <w:spacing w:line="300" w:lineRule="exact"/>
              <w:jc w:val="center"/>
              <w:rPr>
                <w:rFonts w:ascii="宋体" w:hAnsi="宋体" w:cstheme="minorBidi"/>
                <w:szCs w:val="21"/>
              </w:rPr>
            </w:pPr>
            <w:r>
              <w:rPr>
                <w:rFonts w:hint="eastAsia" w:ascii="宋体" w:hAnsi="宋体" w:cstheme="minorBidi"/>
                <w:szCs w:val="21"/>
              </w:rPr>
              <w:t>（60 分）</w:t>
            </w:r>
          </w:p>
        </w:tc>
        <w:tc>
          <w:tcPr>
            <w:tcW w:w="4520" w:type="dxa"/>
            <w:shd w:val="clear" w:color="auto" w:fill="auto"/>
            <w:vAlign w:val="center"/>
          </w:tcPr>
          <w:p w14:paraId="327CC068">
            <w:pPr>
              <w:widowControl/>
              <w:spacing w:line="300" w:lineRule="exact"/>
              <w:jc w:val="left"/>
              <w:rPr>
                <w:rFonts w:ascii="宋体" w:hAnsi="宋体" w:cstheme="minorBidi"/>
                <w:szCs w:val="21"/>
              </w:rPr>
            </w:pPr>
            <w:r>
              <w:rPr>
                <w:rFonts w:hint="eastAsia" w:ascii="宋体" w:hAnsi="宋体" w:cstheme="minorBidi"/>
                <w:szCs w:val="21"/>
              </w:rPr>
              <w:t>1.团队管理：管理架构清晰、专有讲师团队在20人以上得10分，不足视情况得1-8分。</w:t>
            </w:r>
          </w:p>
          <w:p w14:paraId="0240A68A">
            <w:pPr>
              <w:widowControl/>
              <w:spacing w:line="300" w:lineRule="exact"/>
              <w:jc w:val="left"/>
              <w:rPr>
                <w:rFonts w:ascii="宋体" w:hAnsi="宋体" w:cstheme="minorBidi"/>
                <w:szCs w:val="21"/>
              </w:rPr>
            </w:pPr>
            <w:r>
              <w:rPr>
                <w:rFonts w:hint="eastAsia" w:ascii="宋体" w:hAnsi="宋体" w:cstheme="minorBidi"/>
                <w:szCs w:val="21"/>
              </w:rPr>
              <w:t>2.培训内容：培训内容贴合度、课程内容丰富度、课程体系设计逻，完全符合得20分，符合得15分，基本符合得10分，不符合得5分。</w:t>
            </w:r>
          </w:p>
          <w:p w14:paraId="54D07038">
            <w:pPr>
              <w:widowControl/>
              <w:spacing w:line="300" w:lineRule="exact"/>
              <w:jc w:val="left"/>
              <w:rPr>
                <w:rFonts w:ascii="宋体" w:hAnsi="宋体" w:cstheme="minorBidi"/>
                <w:szCs w:val="21"/>
              </w:rPr>
            </w:pPr>
            <w:r>
              <w:rPr>
                <w:rFonts w:hint="eastAsia" w:ascii="宋体" w:hAnsi="宋体" w:cstheme="minorBidi"/>
                <w:szCs w:val="21"/>
              </w:rPr>
              <w:t>3.培训运营：项目运营方案可行、科学，具有课堂氛围营造措施、可提高员工培训满意度，完全符合得20分，符合得15分，基本符合得10分，不符合得5分。</w:t>
            </w:r>
          </w:p>
          <w:p w14:paraId="4FBA567E">
            <w:pPr>
              <w:widowControl/>
              <w:spacing w:line="300" w:lineRule="exact"/>
              <w:jc w:val="left"/>
              <w:rPr>
                <w:rFonts w:ascii="宋体" w:hAnsi="宋体" w:cstheme="minorBidi"/>
                <w:szCs w:val="21"/>
              </w:rPr>
            </w:pPr>
            <w:r>
              <w:rPr>
                <w:rFonts w:hint="eastAsia" w:ascii="宋体" w:hAnsi="宋体" w:cstheme="minorBidi"/>
                <w:szCs w:val="21"/>
              </w:rPr>
              <w:t>4.培训结束后，具有良好的跟踪辅导评价机制，完全符合得10分，符合得8分，基本符合得5分，不符合得3分。</w:t>
            </w:r>
          </w:p>
        </w:tc>
        <w:tc>
          <w:tcPr>
            <w:tcW w:w="2210" w:type="dxa"/>
            <w:vMerge w:val="continue"/>
            <w:shd w:val="clear" w:color="auto" w:fill="auto"/>
            <w:vAlign w:val="center"/>
          </w:tcPr>
          <w:p w14:paraId="3027A703">
            <w:pPr>
              <w:widowControl/>
              <w:spacing w:line="300" w:lineRule="exact"/>
              <w:jc w:val="left"/>
              <w:rPr>
                <w:rFonts w:ascii="宋体" w:hAnsi="宋体" w:cstheme="minorBidi"/>
                <w:szCs w:val="21"/>
              </w:rPr>
            </w:pPr>
          </w:p>
        </w:tc>
        <w:tc>
          <w:tcPr>
            <w:tcW w:w="544" w:type="dxa"/>
            <w:shd w:val="clear" w:color="auto" w:fill="auto"/>
            <w:vAlign w:val="center"/>
          </w:tcPr>
          <w:p w14:paraId="106E7758">
            <w:pPr>
              <w:widowControl/>
              <w:spacing w:line="300" w:lineRule="exact"/>
              <w:jc w:val="left"/>
              <w:rPr>
                <w:rFonts w:ascii="宋体" w:hAnsi="宋体" w:cstheme="minorBidi"/>
                <w:szCs w:val="21"/>
              </w:rPr>
            </w:pPr>
          </w:p>
        </w:tc>
      </w:tr>
    </w:tbl>
    <w:p w14:paraId="6BD13A99"/>
    <w:tbl>
      <w:tblPr>
        <w:tblStyle w:val="18"/>
        <w:tblW w:w="981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25"/>
        <w:gridCol w:w="1420"/>
        <w:gridCol w:w="4520"/>
        <w:gridCol w:w="2210"/>
        <w:gridCol w:w="544"/>
      </w:tblGrid>
      <w:tr w14:paraId="489DC2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77" w:hRule="atLeast"/>
          <w:jc w:val="center"/>
        </w:trPr>
        <w:tc>
          <w:tcPr>
            <w:tcW w:w="1125" w:type="dxa"/>
            <w:vMerge w:val="restart"/>
          </w:tcPr>
          <w:p w14:paraId="1F469420">
            <w:pPr>
              <w:widowControl/>
              <w:spacing w:line="300" w:lineRule="exact"/>
              <w:jc w:val="center"/>
            </w:pPr>
          </w:p>
          <w:p w14:paraId="15F9B98B">
            <w:pPr>
              <w:pStyle w:val="2"/>
              <w:rPr>
                <w:rFonts w:ascii="宋体" w:hAnsi="宋体" w:cstheme="minorBidi"/>
                <w:szCs w:val="21"/>
              </w:rPr>
            </w:pPr>
          </w:p>
          <w:p w14:paraId="5C5DE740">
            <w:pPr>
              <w:pStyle w:val="2"/>
              <w:rPr>
                <w:rFonts w:ascii="宋体" w:hAnsi="宋体" w:cstheme="minorBidi"/>
                <w:szCs w:val="21"/>
              </w:rPr>
            </w:pPr>
          </w:p>
          <w:p w14:paraId="63FBB1A6">
            <w:pPr>
              <w:pStyle w:val="2"/>
              <w:rPr>
                <w:rFonts w:ascii="宋体" w:hAnsi="宋体" w:cstheme="minorBidi"/>
                <w:szCs w:val="21"/>
              </w:rPr>
            </w:pPr>
          </w:p>
          <w:p w14:paraId="30A4B790">
            <w:pPr>
              <w:pStyle w:val="2"/>
              <w:rPr>
                <w:rFonts w:ascii="宋体" w:hAnsi="宋体" w:cstheme="minorBidi"/>
                <w:szCs w:val="21"/>
              </w:rPr>
            </w:pPr>
          </w:p>
          <w:p w14:paraId="1BE12CF2">
            <w:pPr>
              <w:widowControl/>
              <w:spacing w:line="300" w:lineRule="exact"/>
              <w:jc w:val="center"/>
            </w:pPr>
            <w:r>
              <w:rPr>
                <w:rFonts w:hint="eastAsia"/>
              </w:rPr>
              <w:t>技术标</w:t>
            </w:r>
          </w:p>
          <w:p w14:paraId="6B80F4A6">
            <w:pPr>
              <w:widowControl/>
              <w:spacing w:line="300" w:lineRule="exact"/>
              <w:jc w:val="center"/>
            </w:pPr>
            <w:r>
              <w:rPr>
                <w:rFonts w:hint="eastAsia"/>
              </w:rPr>
              <w:t>（1</w:t>
            </w:r>
            <w:r>
              <w:t>00</w:t>
            </w:r>
            <w:r>
              <w:rPr>
                <w:rFonts w:hint="eastAsia"/>
              </w:rPr>
              <w:t>分）</w:t>
            </w:r>
          </w:p>
          <w:p w14:paraId="2A1B3BBD">
            <w:pPr>
              <w:pStyle w:val="2"/>
              <w:rPr>
                <w:rFonts w:ascii="宋体" w:hAnsi="宋体" w:cstheme="minorBidi"/>
                <w:szCs w:val="21"/>
              </w:rPr>
            </w:pPr>
          </w:p>
        </w:tc>
        <w:tc>
          <w:tcPr>
            <w:tcW w:w="1420" w:type="dxa"/>
            <w:shd w:val="clear" w:color="auto" w:fill="auto"/>
            <w:vAlign w:val="center"/>
          </w:tcPr>
          <w:p w14:paraId="5B2A5DAE">
            <w:pPr>
              <w:widowControl/>
              <w:spacing w:line="300" w:lineRule="exact"/>
              <w:jc w:val="center"/>
              <w:rPr>
                <w:rFonts w:ascii="宋体" w:hAnsi="宋体" w:cstheme="minorBidi"/>
                <w:szCs w:val="21"/>
              </w:rPr>
            </w:pPr>
            <w:r>
              <w:rPr>
                <w:rFonts w:hint="eastAsia" w:ascii="宋体" w:hAnsi="宋体" w:cstheme="minorBidi"/>
                <w:szCs w:val="21"/>
              </w:rPr>
              <w:t>服务承诺</w:t>
            </w:r>
          </w:p>
          <w:p w14:paraId="79089D0C">
            <w:pPr>
              <w:widowControl/>
              <w:spacing w:line="300" w:lineRule="exact"/>
              <w:jc w:val="center"/>
              <w:rPr>
                <w:rFonts w:ascii="宋体" w:hAnsi="宋体" w:cstheme="minorBidi"/>
                <w:szCs w:val="21"/>
              </w:rPr>
            </w:pPr>
            <w:r>
              <w:rPr>
                <w:rFonts w:hint="eastAsia" w:ascii="宋体" w:hAnsi="宋体" w:cstheme="minorBidi"/>
                <w:szCs w:val="21"/>
              </w:rPr>
              <w:t>（</w:t>
            </w:r>
            <w:r>
              <w:rPr>
                <w:rFonts w:ascii="宋体" w:hAnsi="宋体" w:cstheme="minorBidi"/>
                <w:szCs w:val="21"/>
              </w:rPr>
              <w:t>1</w:t>
            </w:r>
            <w:r>
              <w:rPr>
                <w:rFonts w:hint="eastAsia" w:ascii="宋体" w:hAnsi="宋体" w:cstheme="minorBidi"/>
                <w:szCs w:val="21"/>
              </w:rPr>
              <w:t>0 分）</w:t>
            </w:r>
          </w:p>
        </w:tc>
        <w:tc>
          <w:tcPr>
            <w:tcW w:w="4520" w:type="dxa"/>
            <w:shd w:val="clear" w:color="auto" w:fill="auto"/>
            <w:vAlign w:val="center"/>
          </w:tcPr>
          <w:p w14:paraId="6CA3F6E0">
            <w:pPr>
              <w:widowControl/>
              <w:spacing w:line="300" w:lineRule="exact"/>
              <w:jc w:val="left"/>
              <w:rPr>
                <w:rFonts w:ascii="宋体" w:hAnsi="宋体" w:cstheme="minorBidi"/>
                <w:szCs w:val="21"/>
              </w:rPr>
            </w:pPr>
            <w:r>
              <w:rPr>
                <w:rFonts w:hint="eastAsia" w:ascii="宋体" w:hAnsi="宋体" w:cstheme="minorBidi"/>
                <w:szCs w:val="21"/>
              </w:rPr>
              <w:t>操作性较强的服务模式、服务特色，完全符合得10分，符合得8分，基本符合得5分，不符合得3分。</w:t>
            </w:r>
          </w:p>
        </w:tc>
        <w:tc>
          <w:tcPr>
            <w:tcW w:w="2210" w:type="dxa"/>
            <w:vMerge w:val="restart"/>
            <w:shd w:val="clear" w:color="auto" w:fill="auto"/>
            <w:vAlign w:val="center"/>
          </w:tcPr>
          <w:p w14:paraId="55AD1A34">
            <w:pPr>
              <w:widowControl/>
              <w:spacing w:line="300" w:lineRule="exact"/>
              <w:jc w:val="left"/>
              <w:rPr>
                <w:rFonts w:ascii="宋体" w:hAnsi="宋体" w:cstheme="minorBidi"/>
                <w:szCs w:val="21"/>
              </w:rPr>
            </w:pPr>
          </w:p>
        </w:tc>
        <w:tc>
          <w:tcPr>
            <w:tcW w:w="544" w:type="dxa"/>
            <w:shd w:val="clear" w:color="auto" w:fill="auto"/>
            <w:vAlign w:val="center"/>
          </w:tcPr>
          <w:p w14:paraId="1FF464C0">
            <w:pPr>
              <w:widowControl/>
              <w:spacing w:line="300" w:lineRule="exact"/>
              <w:jc w:val="left"/>
              <w:rPr>
                <w:rFonts w:ascii="宋体" w:hAnsi="宋体" w:cstheme="minorBidi"/>
                <w:szCs w:val="21"/>
              </w:rPr>
            </w:pPr>
          </w:p>
        </w:tc>
      </w:tr>
      <w:tr w14:paraId="206122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37" w:hRule="atLeast"/>
          <w:jc w:val="center"/>
        </w:trPr>
        <w:tc>
          <w:tcPr>
            <w:tcW w:w="1125" w:type="dxa"/>
            <w:vMerge w:val="continue"/>
          </w:tcPr>
          <w:p w14:paraId="7381343B">
            <w:pPr>
              <w:widowControl/>
              <w:spacing w:line="300" w:lineRule="exact"/>
              <w:jc w:val="center"/>
              <w:rPr>
                <w:rFonts w:ascii="宋体" w:hAnsi="宋体" w:cstheme="minorBidi"/>
                <w:szCs w:val="21"/>
              </w:rPr>
            </w:pPr>
          </w:p>
        </w:tc>
        <w:tc>
          <w:tcPr>
            <w:tcW w:w="1420" w:type="dxa"/>
            <w:shd w:val="clear" w:color="auto" w:fill="auto"/>
            <w:vAlign w:val="center"/>
          </w:tcPr>
          <w:p w14:paraId="1BFB5A8C">
            <w:pPr>
              <w:widowControl/>
              <w:spacing w:line="300" w:lineRule="exact"/>
              <w:jc w:val="center"/>
              <w:rPr>
                <w:rFonts w:ascii="宋体" w:hAnsi="宋体" w:cstheme="minorBidi"/>
                <w:szCs w:val="21"/>
              </w:rPr>
            </w:pPr>
            <w:r>
              <w:rPr>
                <w:rFonts w:hint="eastAsia" w:ascii="宋体" w:hAnsi="宋体" w:cstheme="minorBidi"/>
                <w:szCs w:val="21"/>
              </w:rPr>
              <w:t>投标方资质、团队及规模实力</w:t>
            </w:r>
          </w:p>
          <w:p w14:paraId="56C79833">
            <w:pPr>
              <w:widowControl/>
              <w:spacing w:line="300" w:lineRule="exact"/>
              <w:jc w:val="center"/>
              <w:rPr>
                <w:rFonts w:ascii="宋体" w:hAnsi="宋体" w:cstheme="minorBidi"/>
                <w:szCs w:val="21"/>
              </w:rPr>
            </w:pPr>
            <w:r>
              <w:rPr>
                <w:rFonts w:hint="eastAsia" w:ascii="宋体" w:hAnsi="宋体" w:cstheme="minorBidi"/>
                <w:szCs w:val="21"/>
              </w:rPr>
              <w:t>（</w:t>
            </w:r>
            <w:r>
              <w:rPr>
                <w:rFonts w:ascii="宋体" w:hAnsi="宋体" w:cstheme="minorBidi"/>
                <w:szCs w:val="21"/>
              </w:rPr>
              <w:t>1</w:t>
            </w:r>
            <w:r>
              <w:rPr>
                <w:rFonts w:hint="eastAsia" w:ascii="宋体" w:hAnsi="宋体" w:cstheme="minorBidi"/>
                <w:szCs w:val="21"/>
              </w:rPr>
              <w:t>0 分）</w:t>
            </w:r>
          </w:p>
        </w:tc>
        <w:tc>
          <w:tcPr>
            <w:tcW w:w="4520" w:type="dxa"/>
            <w:shd w:val="clear" w:color="auto" w:fill="auto"/>
            <w:vAlign w:val="center"/>
          </w:tcPr>
          <w:p w14:paraId="152A9D26">
            <w:pPr>
              <w:widowControl/>
              <w:spacing w:line="300" w:lineRule="exact"/>
              <w:jc w:val="left"/>
              <w:rPr>
                <w:rFonts w:ascii="宋体" w:hAnsi="宋体" w:cstheme="minorBidi"/>
                <w:szCs w:val="21"/>
              </w:rPr>
            </w:pPr>
            <w:r>
              <w:rPr>
                <w:rFonts w:hint="eastAsia" w:ascii="宋体" w:hAnsi="宋体" w:cstheme="minorBidi"/>
                <w:szCs w:val="21"/>
              </w:rPr>
              <w:t>根据竞标单位在所属行业中的企业业务规模情况、实际经营实力和相关工作经验情况，分为优秀、良好、符合、基本满足四个等级，分别酌情赋分，其中：</w:t>
            </w:r>
          </w:p>
          <w:p w14:paraId="6EDAFD3D">
            <w:pPr>
              <w:widowControl/>
              <w:spacing w:line="300" w:lineRule="exact"/>
              <w:jc w:val="left"/>
              <w:rPr>
                <w:rFonts w:ascii="宋体" w:hAnsi="宋体" w:cstheme="minorBidi"/>
                <w:szCs w:val="21"/>
              </w:rPr>
            </w:pPr>
            <w:r>
              <w:rPr>
                <w:rFonts w:hint="eastAsia" w:ascii="宋体" w:hAnsi="宋体" w:cstheme="minorBidi"/>
                <w:szCs w:val="21"/>
              </w:rPr>
              <w:t>年培训项目开展1</w:t>
            </w:r>
            <w:r>
              <w:rPr>
                <w:rFonts w:ascii="宋体" w:hAnsi="宋体" w:cstheme="minorBidi"/>
                <w:szCs w:val="21"/>
              </w:rPr>
              <w:t>2-15</w:t>
            </w:r>
            <w:r>
              <w:rPr>
                <w:rFonts w:hint="eastAsia" w:ascii="宋体" w:hAnsi="宋体" w:cstheme="minorBidi"/>
                <w:szCs w:val="21"/>
              </w:rPr>
              <w:t>次，评价优秀8</w:t>
            </w:r>
            <w:r>
              <w:rPr>
                <w:rFonts w:ascii="宋体" w:hAnsi="宋体" w:cstheme="minorBidi"/>
                <w:szCs w:val="21"/>
              </w:rPr>
              <w:t>-10</w:t>
            </w:r>
            <w:r>
              <w:rPr>
                <w:rFonts w:hint="eastAsia" w:ascii="宋体" w:hAnsi="宋体" w:cstheme="minorBidi"/>
                <w:szCs w:val="21"/>
              </w:rPr>
              <w:t>分；</w:t>
            </w:r>
          </w:p>
          <w:p w14:paraId="3C40D91F">
            <w:pPr>
              <w:widowControl/>
              <w:spacing w:line="300" w:lineRule="exact"/>
              <w:jc w:val="left"/>
              <w:rPr>
                <w:rFonts w:ascii="宋体" w:hAnsi="宋体" w:cstheme="minorBidi"/>
                <w:szCs w:val="21"/>
              </w:rPr>
            </w:pPr>
            <w:r>
              <w:rPr>
                <w:rFonts w:hint="eastAsia" w:ascii="宋体" w:hAnsi="宋体" w:cstheme="minorBidi"/>
                <w:szCs w:val="21"/>
              </w:rPr>
              <w:t>年培训项目开展9</w:t>
            </w:r>
            <w:r>
              <w:rPr>
                <w:rFonts w:ascii="宋体" w:hAnsi="宋体" w:cstheme="minorBidi"/>
                <w:szCs w:val="21"/>
              </w:rPr>
              <w:t>-11</w:t>
            </w:r>
            <w:r>
              <w:rPr>
                <w:rFonts w:hint="eastAsia" w:ascii="宋体" w:hAnsi="宋体" w:cstheme="minorBidi"/>
                <w:szCs w:val="21"/>
              </w:rPr>
              <w:t>次，评价良好6-</w:t>
            </w:r>
            <w:r>
              <w:rPr>
                <w:rFonts w:ascii="宋体" w:hAnsi="宋体" w:cstheme="minorBidi"/>
                <w:szCs w:val="21"/>
              </w:rPr>
              <w:t>7</w:t>
            </w:r>
            <w:r>
              <w:rPr>
                <w:rFonts w:hint="eastAsia" w:ascii="宋体" w:hAnsi="宋体" w:cstheme="minorBidi"/>
                <w:szCs w:val="21"/>
              </w:rPr>
              <w:t>分；</w:t>
            </w:r>
          </w:p>
          <w:p w14:paraId="431AC442">
            <w:pPr>
              <w:widowControl/>
              <w:spacing w:line="300" w:lineRule="exact"/>
              <w:jc w:val="left"/>
              <w:rPr>
                <w:rFonts w:ascii="宋体" w:hAnsi="宋体" w:cstheme="minorBidi"/>
                <w:szCs w:val="21"/>
              </w:rPr>
            </w:pPr>
            <w:r>
              <w:rPr>
                <w:rFonts w:hint="eastAsia" w:ascii="宋体" w:hAnsi="宋体" w:cstheme="minorBidi"/>
                <w:szCs w:val="21"/>
              </w:rPr>
              <w:t>年培训项目开展6</w:t>
            </w:r>
            <w:r>
              <w:rPr>
                <w:rFonts w:ascii="宋体" w:hAnsi="宋体" w:cstheme="minorBidi"/>
                <w:szCs w:val="21"/>
              </w:rPr>
              <w:t>-8</w:t>
            </w:r>
            <w:r>
              <w:rPr>
                <w:rFonts w:hint="eastAsia" w:ascii="宋体" w:hAnsi="宋体" w:cstheme="minorBidi"/>
                <w:szCs w:val="21"/>
              </w:rPr>
              <w:t>分，评价符合4</w:t>
            </w:r>
            <w:r>
              <w:rPr>
                <w:rFonts w:ascii="宋体" w:hAnsi="宋体" w:cstheme="minorBidi"/>
                <w:szCs w:val="21"/>
              </w:rPr>
              <w:t>-5</w:t>
            </w:r>
            <w:r>
              <w:rPr>
                <w:rFonts w:hint="eastAsia" w:ascii="宋体" w:hAnsi="宋体" w:cstheme="minorBidi"/>
                <w:szCs w:val="21"/>
              </w:rPr>
              <w:t>分；</w:t>
            </w:r>
          </w:p>
          <w:p w14:paraId="7983595A">
            <w:pPr>
              <w:widowControl/>
              <w:spacing w:line="300" w:lineRule="exact"/>
              <w:jc w:val="left"/>
              <w:rPr>
                <w:rFonts w:ascii="宋体" w:hAnsi="宋体" w:cstheme="minorBidi"/>
                <w:szCs w:val="21"/>
              </w:rPr>
            </w:pPr>
            <w:r>
              <w:rPr>
                <w:rFonts w:hint="eastAsia" w:ascii="宋体" w:hAnsi="宋体" w:cstheme="minorBidi"/>
                <w:szCs w:val="21"/>
              </w:rPr>
              <w:t>年培训项目开展</w:t>
            </w:r>
            <w:r>
              <w:rPr>
                <w:rFonts w:ascii="宋体" w:hAnsi="宋体" w:cstheme="minorBidi"/>
                <w:szCs w:val="21"/>
              </w:rPr>
              <w:t>3-5</w:t>
            </w:r>
            <w:r>
              <w:rPr>
                <w:rFonts w:hint="eastAsia" w:ascii="宋体" w:hAnsi="宋体" w:cstheme="minorBidi"/>
                <w:szCs w:val="21"/>
              </w:rPr>
              <w:t>次，评价基本满足1</w:t>
            </w:r>
            <w:r>
              <w:rPr>
                <w:rFonts w:ascii="宋体" w:hAnsi="宋体" w:cstheme="minorBidi"/>
                <w:szCs w:val="21"/>
              </w:rPr>
              <w:t>-3</w:t>
            </w:r>
            <w:r>
              <w:rPr>
                <w:rFonts w:hint="eastAsia" w:ascii="宋体" w:hAnsi="宋体" w:cstheme="minorBidi"/>
                <w:szCs w:val="21"/>
              </w:rPr>
              <w:t>分。</w:t>
            </w:r>
          </w:p>
        </w:tc>
        <w:tc>
          <w:tcPr>
            <w:tcW w:w="2210" w:type="dxa"/>
            <w:vMerge w:val="continue"/>
            <w:shd w:val="clear" w:color="auto" w:fill="auto"/>
            <w:vAlign w:val="center"/>
          </w:tcPr>
          <w:p w14:paraId="42020E18">
            <w:pPr>
              <w:widowControl/>
              <w:spacing w:line="300" w:lineRule="exact"/>
              <w:jc w:val="left"/>
              <w:rPr>
                <w:rFonts w:ascii="宋体" w:hAnsi="宋体" w:cstheme="minorBidi"/>
                <w:szCs w:val="21"/>
              </w:rPr>
            </w:pPr>
          </w:p>
        </w:tc>
        <w:tc>
          <w:tcPr>
            <w:tcW w:w="544" w:type="dxa"/>
            <w:shd w:val="clear" w:color="auto" w:fill="auto"/>
            <w:vAlign w:val="center"/>
          </w:tcPr>
          <w:p w14:paraId="470019B9">
            <w:pPr>
              <w:widowControl/>
              <w:spacing w:line="300" w:lineRule="exact"/>
              <w:jc w:val="left"/>
              <w:rPr>
                <w:rFonts w:ascii="宋体" w:hAnsi="宋体" w:cstheme="minorBidi"/>
                <w:szCs w:val="21"/>
              </w:rPr>
            </w:pPr>
          </w:p>
        </w:tc>
      </w:tr>
    </w:tbl>
    <w:p w14:paraId="7895477C">
      <w:pPr>
        <w:pStyle w:val="10"/>
        <w:spacing w:line="500" w:lineRule="exact"/>
        <w:ind w:firstLine="600" w:firstLineChars="200"/>
        <w:rPr>
          <w:rFonts w:ascii="仿宋_GB2312" w:hAnsi="仿宋" w:eastAsia="仿宋_GB2312" w:cs="Times New Roman"/>
          <w:sz w:val="30"/>
          <w:szCs w:val="30"/>
        </w:rPr>
      </w:pPr>
      <w:r>
        <w:rPr>
          <w:rFonts w:hint="eastAsia" w:ascii="仿宋_GB2312" w:hAnsi="仿宋" w:eastAsia="仿宋_GB2312" w:cs="Times New Roman"/>
          <w:sz w:val="30"/>
          <w:szCs w:val="30"/>
        </w:rPr>
        <w:t>注1：投标人得分取所有评委对该投标人计分之和的算术平均值。</w:t>
      </w:r>
    </w:p>
    <w:p w14:paraId="7675608E">
      <w:pPr>
        <w:pStyle w:val="10"/>
        <w:spacing w:line="500" w:lineRule="exact"/>
        <w:ind w:firstLine="600" w:firstLineChars="200"/>
        <w:rPr>
          <w:rFonts w:ascii="仿宋_GB2312" w:hAnsi="仿宋" w:eastAsia="仿宋_GB2312" w:cs="Times New Roman"/>
          <w:sz w:val="30"/>
          <w:szCs w:val="30"/>
        </w:rPr>
      </w:pPr>
      <w:r>
        <w:rPr>
          <w:rFonts w:hint="eastAsia" w:ascii="仿宋_GB2312" w:hAnsi="仿宋" w:eastAsia="仿宋_GB2312" w:cs="Times New Roman"/>
          <w:sz w:val="30"/>
          <w:szCs w:val="30"/>
        </w:rPr>
        <w:t>注2：最终得分小数点后保留2位有效数字。</w:t>
      </w:r>
    </w:p>
    <w:p w14:paraId="70AE7A58">
      <w:pPr>
        <w:spacing w:line="500" w:lineRule="exact"/>
        <w:ind w:firstLine="600" w:firstLineChars="200"/>
        <w:jc w:val="left"/>
        <w:rPr>
          <w:rFonts w:ascii="仿宋_GB2312" w:hAnsi="仿宋" w:eastAsia="仿宋_GB2312"/>
          <w:sz w:val="30"/>
          <w:szCs w:val="30"/>
        </w:rPr>
      </w:pPr>
      <w:r>
        <w:rPr>
          <w:rFonts w:hint="eastAsia" w:ascii="仿宋_GB2312" w:hAnsi="仿宋" w:eastAsia="仿宋_GB2312"/>
          <w:sz w:val="30"/>
          <w:szCs w:val="30"/>
        </w:rPr>
        <w:t>注3：对于未能提供承诺书证明材料的，一票否决。</w:t>
      </w:r>
    </w:p>
    <w:p w14:paraId="3CA143F5">
      <w:pPr>
        <w:pStyle w:val="10"/>
        <w:spacing w:line="360" w:lineRule="auto"/>
        <w:ind w:firstLine="600" w:firstLineChars="200"/>
        <w:outlineLvl w:val="2"/>
        <w:rPr>
          <w:rFonts w:ascii="仿宋_GB2312" w:hAnsi="仿宋" w:eastAsia="仿宋_GB2312" w:cs="Times New Roman"/>
          <w:sz w:val="30"/>
          <w:szCs w:val="30"/>
        </w:rPr>
      </w:pPr>
      <w:r>
        <w:rPr>
          <w:rFonts w:hint="eastAsia" w:ascii="仿宋_GB2312" w:hAnsi="仿宋" w:eastAsia="仿宋_GB2312" w:cs="Times New Roman"/>
          <w:sz w:val="30"/>
          <w:szCs w:val="30"/>
        </w:rPr>
        <w:t>（2）商务标评分标准</w:t>
      </w:r>
    </w:p>
    <w:tbl>
      <w:tblPr>
        <w:tblStyle w:val="18"/>
        <w:tblW w:w="969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85"/>
        <w:gridCol w:w="1333"/>
        <w:gridCol w:w="6486"/>
        <w:gridCol w:w="695"/>
      </w:tblGrid>
      <w:tr w14:paraId="5CB4DF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8" w:hRule="atLeast"/>
          <w:jc w:val="center"/>
        </w:trPr>
        <w:tc>
          <w:tcPr>
            <w:tcW w:w="1185" w:type="dxa"/>
            <w:vAlign w:val="center"/>
          </w:tcPr>
          <w:p w14:paraId="1F629368">
            <w:pPr>
              <w:widowControl/>
              <w:spacing w:line="300" w:lineRule="exact"/>
              <w:jc w:val="center"/>
              <w:rPr>
                <w:rFonts w:ascii="CIDFont" w:hAnsi="CIDFont" w:eastAsia="CIDFont" w:cs="CIDFont"/>
                <w:b/>
                <w:bCs/>
                <w:color w:val="000000"/>
                <w:kern w:val="0"/>
                <w:sz w:val="20"/>
                <w:lang w:bidi="ar"/>
              </w:rPr>
            </w:pPr>
            <w:r>
              <w:rPr>
                <w:rFonts w:hint="eastAsia" w:cs="CIDFont" w:asciiTheme="minorEastAsia" w:hAnsiTheme="minorEastAsia" w:eastAsiaTheme="minorEastAsia"/>
                <w:b/>
                <w:bCs/>
                <w:color w:val="000000"/>
                <w:kern w:val="0"/>
                <w:sz w:val="20"/>
                <w:lang w:bidi="ar"/>
              </w:rPr>
              <w:t>项目</w:t>
            </w:r>
          </w:p>
        </w:tc>
        <w:tc>
          <w:tcPr>
            <w:tcW w:w="1333" w:type="dxa"/>
            <w:shd w:val="clear" w:color="auto" w:fill="auto"/>
            <w:vAlign w:val="center"/>
          </w:tcPr>
          <w:p w14:paraId="00991656">
            <w:pPr>
              <w:widowControl/>
              <w:spacing w:line="300" w:lineRule="exact"/>
              <w:jc w:val="center"/>
              <w:rPr>
                <w:rFonts w:ascii="CIDFont" w:hAnsi="CIDFont" w:eastAsia="CIDFont" w:cs="CIDFont"/>
                <w:b/>
                <w:bCs/>
                <w:color w:val="000000"/>
                <w:kern w:val="0"/>
                <w:sz w:val="20"/>
                <w:lang w:bidi="ar"/>
              </w:rPr>
            </w:pPr>
            <w:r>
              <w:rPr>
                <w:rFonts w:hint="eastAsia" w:ascii="CIDFont" w:hAnsi="CIDFont" w:eastAsia="CIDFont" w:cs="CIDFont"/>
                <w:b/>
                <w:bCs/>
                <w:color w:val="000000"/>
                <w:kern w:val="0"/>
                <w:sz w:val="20"/>
                <w:lang w:bidi="ar"/>
              </w:rPr>
              <w:t>细则</w:t>
            </w:r>
          </w:p>
        </w:tc>
        <w:tc>
          <w:tcPr>
            <w:tcW w:w="6486" w:type="dxa"/>
            <w:shd w:val="clear" w:color="auto" w:fill="auto"/>
            <w:vAlign w:val="center"/>
          </w:tcPr>
          <w:p w14:paraId="0D5C51FB">
            <w:pPr>
              <w:widowControl/>
              <w:spacing w:line="300" w:lineRule="exact"/>
              <w:jc w:val="center"/>
              <w:rPr>
                <w:rFonts w:ascii="CIDFont" w:hAnsi="CIDFont" w:eastAsia="CIDFont" w:cs="CIDFont"/>
                <w:b/>
                <w:bCs/>
                <w:color w:val="000000"/>
                <w:kern w:val="0"/>
                <w:sz w:val="20"/>
                <w:lang w:bidi="ar"/>
              </w:rPr>
            </w:pPr>
            <w:r>
              <w:rPr>
                <w:rFonts w:hint="eastAsia" w:ascii="CIDFont" w:hAnsi="CIDFont" w:cs="CIDFont"/>
                <w:b/>
                <w:bCs/>
                <w:color w:val="000000"/>
                <w:kern w:val="0"/>
                <w:sz w:val="20"/>
                <w:lang w:bidi="ar"/>
              </w:rPr>
              <w:t>商务</w:t>
            </w:r>
            <w:r>
              <w:rPr>
                <w:rFonts w:hint="eastAsia" w:ascii="CIDFont" w:hAnsi="CIDFont" w:eastAsia="CIDFont" w:cs="CIDFont"/>
                <w:b/>
                <w:bCs/>
                <w:color w:val="000000"/>
                <w:kern w:val="0"/>
                <w:sz w:val="20"/>
                <w:lang w:bidi="ar"/>
              </w:rPr>
              <w:t>标评分标准</w:t>
            </w:r>
          </w:p>
        </w:tc>
        <w:tc>
          <w:tcPr>
            <w:tcW w:w="695" w:type="dxa"/>
            <w:shd w:val="clear" w:color="auto" w:fill="auto"/>
            <w:vAlign w:val="center"/>
          </w:tcPr>
          <w:p w14:paraId="14D1AC22">
            <w:pPr>
              <w:widowControl/>
              <w:spacing w:line="300" w:lineRule="exact"/>
              <w:jc w:val="center"/>
              <w:rPr>
                <w:rFonts w:ascii="CIDFont" w:hAnsi="CIDFont" w:eastAsia="CIDFont" w:cs="CIDFont"/>
                <w:b/>
                <w:bCs/>
                <w:color w:val="000000"/>
                <w:kern w:val="0"/>
                <w:sz w:val="20"/>
                <w:lang w:bidi="ar"/>
              </w:rPr>
            </w:pPr>
            <w:r>
              <w:rPr>
                <w:rFonts w:hint="eastAsia" w:ascii="CIDFont" w:hAnsi="CIDFont" w:eastAsia="CIDFont" w:cs="CIDFont"/>
                <w:b/>
                <w:bCs/>
                <w:color w:val="000000"/>
                <w:kern w:val="0"/>
                <w:sz w:val="20"/>
                <w:lang w:bidi="ar"/>
              </w:rPr>
              <w:t>得分</w:t>
            </w:r>
          </w:p>
        </w:tc>
      </w:tr>
      <w:tr w14:paraId="6E25EA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01" w:hRule="atLeast"/>
          <w:jc w:val="center"/>
        </w:trPr>
        <w:tc>
          <w:tcPr>
            <w:tcW w:w="1185" w:type="dxa"/>
          </w:tcPr>
          <w:p w14:paraId="380A12A8">
            <w:pPr>
              <w:widowControl/>
              <w:spacing w:line="300" w:lineRule="exact"/>
              <w:jc w:val="center"/>
              <w:rPr>
                <w:rFonts w:ascii="宋体" w:hAnsi="宋体" w:cstheme="minorBidi"/>
                <w:szCs w:val="21"/>
              </w:rPr>
            </w:pPr>
          </w:p>
          <w:p w14:paraId="1D3F1E4C">
            <w:pPr>
              <w:widowControl/>
              <w:spacing w:line="300" w:lineRule="exact"/>
              <w:jc w:val="center"/>
              <w:rPr>
                <w:rFonts w:ascii="宋体" w:hAnsi="宋体" w:cstheme="minorBidi"/>
                <w:szCs w:val="21"/>
              </w:rPr>
            </w:pPr>
          </w:p>
          <w:p w14:paraId="69837D64">
            <w:pPr>
              <w:widowControl/>
              <w:spacing w:line="300" w:lineRule="exact"/>
              <w:jc w:val="center"/>
              <w:rPr>
                <w:rFonts w:ascii="宋体" w:hAnsi="宋体" w:cstheme="minorBidi"/>
                <w:szCs w:val="21"/>
              </w:rPr>
            </w:pPr>
            <w:r>
              <w:rPr>
                <w:rFonts w:hint="eastAsia" w:ascii="宋体" w:hAnsi="宋体" w:cstheme="minorBidi"/>
                <w:szCs w:val="21"/>
              </w:rPr>
              <w:t>商务标</w:t>
            </w:r>
          </w:p>
          <w:p w14:paraId="5C0A65AD">
            <w:pPr>
              <w:widowControl/>
              <w:spacing w:line="300" w:lineRule="exact"/>
              <w:jc w:val="center"/>
              <w:rPr>
                <w:rFonts w:ascii="宋体" w:hAnsi="宋体" w:cstheme="minorBidi"/>
                <w:szCs w:val="21"/>
              </w:rPr>
            </w:pPr>
            <w:r>
              <w:rPr>
                <w:rFonts w:hint="eastAsia" w:ascii="宋体" w:hAnsi="宋体" w:cstheme="minorBidi"/>
                <w:szCs w:val="21"/>
              </w:rPr>
              <w:t>（1</w:t>
            </w:r>
            <w:r>
              <w:rPr>
                <w:rFonts w:ascii="宋体" w:hAnsi="宋体" w:cstheme="minorBidi"/>
                <w:szCs w:val="21"/>
              </w:rPr>
              <w:t>00</w:t>
            </w:r>
            <w:r>
              <w:rPr>
                <w:rFonts w:hint="eastAsia" w:ascii="宋体" w:hAnsi="宋体" w:cstheme="minorBidi"/>
                <w:szCs w:val="21"/>
              </w:rPr>
              <w:t>分）</w:t>
            </w:r>
          </w:p>
        </w:tc>
        <w:tc>
          <w:tcPr>
            <w:tcW w:w="1333" w:type="dxa"/>
            <w:shd w:val="clear" w:color="auto" w:fill="auto"/>
            <w:vAlign w:val="center"/>
          </w:tcPr>
          <w:p w14:paraId="73FEE29D">
            <w:pPr>
              <w:widowControl/>
              <w:spacing w:line="300" w:lineRule="exact"/>
              <w:jc w:val="center"/>
              <w:rPr>
                <w:rFonts w:ascii="宋体" w:hAnsi="宋体" w:cstheme="minorBidi"/>
                <w:szCs w:val="21"/>
              </w:rPr>
            </w:pPr>
            <w:r>
              <w:rPr>
                <w:rFonts w:hint="eastAsia" w:ascii="宋体" w:hAnsi="宋体" w:cstheme="minorBidi"/>
                <w:szCs w:val="21"/>
              </w:rPr>
              <w:t>商务标</w:t>
            </w:r>
          </w:p>
          <w:p w14:paraId="7A5ACDBF">
            <w:pPr>
              <w:widowControl/>
              <w:spacing w:line="300" w:lineRule="exact"/>
              <w:jc w:val="center"/>
              <w:rPr>
                <w:rFonts w:ascii="宋体" w:hAnsi="宋体" w:cstheme="minorBidi"/>
                <w:szCs w:val="21"/>
              </w:rPr>
            </w:pPr>
            <w:r>
              <w:rPr>
                <w:rFonts w:hint="eastAsia" w:ascii="宋体" w:hAnsi="宋体" w:cstheme="minorBidi"/>
                <w:szCs w:val="21"/>
              </w:rPr>
              <w:t>报价</w:t>
            </w:r>
          </w:p>
        </w:tc>
        <w:tc>
          <w:tcPr>
            <w:tcW w:w="6486" w:type="dxa"/>
            <w:shd w:val="clear" w:color="auto" w:fill="auto"/>
            <w:vAlign w:val="center"/>
          </w:tcPr>
          <w:p w14:paraId="67B55784">
            <w:pPr>
              <w:widowControl/>
              <w:spacing w:line="300" w:lineRule="exact"/>
              <w:jc w:val="left"/>
              <w:rPr>
                <w:rFonts w:ascii="宋体" w:hAnsi="宋体" w:cstheme="minorBidi"/>
                <w:szCs w:val="21"/>
              </w:rPr>
            </w:pPr>
            <w:r>
              <w:rPr>
                <w:rFonts w:hint="eastAsia" w:ascii="宋体" w:hAnsi="宋体" w:cstheme="minorBidi"/>
                <w:szCs w:val="21"/>
              </w:rPr>
              <w:t>各报价采用低价优先法计算，各方案以满足招标文件要求且报价</w:t>
            </w:r>
            <w:r>
              <w:rPr>
                <w:rFonts w:ascii="宋体" w:hAnsi="宋体" w:cstheme="minorBidi"/>
                <w:szCs w:val="21"/>
              </w:rPr>
              <w:t>最低的投标报价为评标基准价，其价格分为满分</w:t>
            </w:r>
            <w:r>
              <w:rPr>
                <w:rFonts w:hint="eastAsia" w:ascii="宋体" w:hAnsi="宋体" w:cstheme="minorBidi"/>
                <w:szCs w:val="21"/>
              </w:rPr>
              <w:t>100</w:t>
            </w:r>
            <w:r>
              <w:rPr>
                <w:rFonts w:ascii="宋体" w:hAnsi="宋体" w:cstheme="minorBidi"/>
                <w:szCs w:val="21"/>
              </w:rPr>
              <w:t>分，其他供应商的价格分按照下列公式计算：投标报价得分=（评标基准价/投标报价）×100</w:t>
            </w:r>
            <w:r>
              <w:rPr>
                <w:rFonts w:hint="eastAsia" w:ascii="宋体" w:hAnsi="宋体" w:cstheme="minorBidi"/>
                <w:szCs w:val="21"/>
              </w:rPr>
              <w:t>分</w:t>
            </w:r>
            <w:r>
              <w:rPr>
                <w:rFonts w:ascii="宋体" w:hAnsi="宋体" w:cstheme="minorBidi"/>
                <w:szCs w:val="21"/>
              </w:rPr>
              <w:t xml:space="preserve">。 </w:t>
            </w:r>
          </w:p>
        </w:tc>
        <w:tc>
          <w:tcPr>
            <w:tcW w:w="695" w:type="dxa"/>
            <w:shd w:val="clear" w:color="auto" w:fill="auto"/>
            <w:vAlign w:val="center"/>
          </w:tcPr>
          <w:p w14:paraId="6726C634">
            <w:pPr>
              <w:widowControl/>
              <w:spacing w:line="300" w:lineRule="exact"/>
              <w:jc w:val="left"/>
              <w:rPr>
                <w:rFonts w:ascii="宋体" w:hAnsi="宋体" w:cstheme="minorBidi"/>
                <w:szCs w:val="21"/>
              </w:rPr>
            </w:pPr>
          </w:p>
        </w:tc>
      </w:tr>
    </w:tbl>
    <w:p w14:paraId="5E091B6D">
      <w:pPr>
        <w:pStyle w:val="2"/>
      </w:pPr>
    </w:p>
    <w:p w14:paraId="22720D27">
      <w:pPr>
        <w:spacing w:line="500" w:lineRule="exact"/>
        <w:ind w:firstLine="600" w:firstLineChars="200"/>
        <w:rPr>
          <w:rFonts w:ascii="仿宋_GB2312" w:hAnsi="仿宋" w:eastAsia="仿宋_GB2312"/>
          <w:color w:val="000000" w:themeColor="text1"/>
          <w:sz w:val="30"/>
          <w:szCs w:val="30"/>
          <w14:textFill>
            <w14:solidFill>
              <w14:schemeClr w14:val="tx1"/>
            </w14:solidFill>
          </w14:textFill>
        </w:rPr>
      </w:pPr>
      <w:r>
        <w:rPr>
          <w:rFonts w:hint="eastAsia" w:ascii="仿宋_GB2312" w:hAnsi="仿宋" w:eastAsia="仿宋_GB2312"/>
          <w:sz w:val="30"/>
          <w:szCs w:val="30"/>
          <w:lang w:val="en-US" w:eastAsia="zh-CN"/>
        </w:rPr>
        <w:t>7</w:t>
      </w:r>
      <w:r>
        <w:rPr>
          <w:rFonts w:hint="eastAsia" w:ascii="仿宋_GB2312" w:hAnsi="仿宋" w:eastAsia="仿宋_GB2312"/>
          <w:sz w:val="30"/>
          <w:szCs w:val="30"/>
        </w:rPr>
        <w:t>.2对于未能提供承诺书证明材料的，一票否决。</w:t>
      </w:r>
      <w:r>
        <w:rPr>
          <w:rFonts w:hint="eastAsia" w:ascii="仿宋_GB2312" w:hAnsi="仿宋" w:eastAsia="仿宋_GB2312"/>
          <w:color w:val="000000" w:themeColor="text1"/>
          <w:sz w:val="30"/>
          <w:szCs w:val="30"/>
          <w14:textFill>
            <w14:solidFill>
              <w14:schemeClr w14:val="tx1"/>
            </w14:solidFill>
          </w14:textFill>
        </w:rPr>
        <w:t>投标文件未密封或资料不完整、投标人对招标文件的实质性要求未做出全面响应、有迹象表明投标人串通投标、中标后无正当理由在规定的时间不签订合同的、投标人提供的投标文件弄虚作假及其它违反法律、法规规定情形的，视为无效投标。</w:t>
      </w:r>
    </w:p>
    <w:p w14:paraId="45DBE50A">
      <w:pPr>
        <w:spacing w:line="500" w:lineRule="exact"/>
        <w:ind w:firstLine="602" w:firstLineChars="200"/>
        <w:jc w:val="left"/>
        <w:outlineLvl w:val="0"/>
        <w:rPr>
          <w:rFonts w:ascii="黑体" w:hAnsi="黑体" w:eastAsia="黑体" w:cs="黑体"/>
          <w:b/>
          <w:bCs/>
          <w:sz w:val="30"/>
          <w:szCs w:val="30"/>
        </w:rPr>
      </w:pPr>
      <w:bookmarkStart w:id="5" w:name="_Toc30928"/>
      <w:r>
        <w:rPr>
          <w:rFonts w:hint="eastAsia" w:ascii="黑体" w:hAnsi="黑体" w:eastAsia="黑体" w:cs="黑体"/>
          <w:b/>
          <w:bCs/>
          <w:sz w:val="30"/>
          <w:szCs w:val="30"/>
        </w:rPr>
        <w:t>四、投标文件</w:t>
      </w:r>
      <w:bookmarkEnd w:id="5"/>
    </w:p>
    <w:p w14:paraId="52198886">
      <w:pPr>
        <w:spacing w:line="500" w:lineRule="exact"/>
        <w:ind w:firstLine="600" w:firstLineChars="200"/>
        <w:jc w:val="left"/>
        <w:outlineLvl w:val="1"/>
        <w:rPr>
          <w:rFonts w:ascii="仿宋_GB2312" w:hAnsi="仿宋" w:eastAsia="仿宋_GB2312"/>
          <w:sz w:val="30"/>
          <w:szCs w:val="30"/>
        </w:rPr>
      </w:pPr>
      <w:r>
        <w:rPr>
          <w:rFonts w:hint="eastAsia" w:ascii="仿宋_GB2312" w:hAnsi="仿宋" w:eastAsia="仿宋_GB2312"/>
          <w:sz w:val="30"/>
          <w:szCs w:val="30"/>
        </w:rPr>
        <w:t>1.投标文件组成</w:t>
      </w:r>
    </w:p>
    <w:p w14:paraId="6113B6C1">
      <w:pPr>
        <w:spacing w:line="500" w:lineRule="exact"/>
        <w:ind w:firstLine="600" w:firstLineChars="200"/>
        <w:jc w:val="left"/>
        <w:rPr>
          <w:rFonts w:ascii="仿宋_GB2312" w:hAnsi="仿宋" w:eastAsia="仿宋_GB2312"/>
          <w:sz w:val="30"/>
          <w:szCs w:val="30"/>
        </w:rPr>
      </w:pPr>
      <w:r>
        <w:rPr>
          <w:rFonts w:hint="eastAsia" w:ascii="仿宋_GB2312" w:hAnsi="仿宋" w:eastAsia="仿宋_GB2312"/>
          <w:sz w:val="30"/>
          <w:szCs w:val="30"/>
        </w:rPr>
        <w:t>投标人的投标文件由资格证明文件、投标文件技术部分、投标文件商务部分共三部分构成。</w:t>
      </w:r>
    </w:p>
    <w:p w14:paraId="668CFDBE">
      <w:pPr>
        <w:spacing w:line="500" w:lineRule="exact"/>
        <w:ind w:firstLine="600" w:firstLineChars="200"/>
        <w:jc w:val="left"/>
        <w:rPr>
          <w:rFonts w:ascii="仿宋_GB2312" w:hAnsi="仿宋" w:eastAsia="仿宋_GB2312"/>
          <w:sz w:val="30"/>
          <w:szCs w:val="30"/>
        </w:rPr>
      </w:pPr>
      <w:r>
        <w:rPr>
          <w:rFonts w:hint="eastAsia" w:ascii="仿宋_GB2312" w:hAnsi="仿宋" w:eastAsia="仿宋_GB2312"/>
          <w:sz w:val="30"/>
          <w:szCs w:val="30"/>
        </w:rPr>
        <w:t>注1：招标文件给定格式的按给定的格式填写，未给定格式的，由投标人自行编制，但需包含以下内容。</w:t>
      </w:r>
    </w:p>
    <w:p w14:paraId="6293E584">
      <w:pPr>
        <w:spacing w:line="500" w:lineRule="exact"/>
        <w:ind w:firstLine="600" w:firstLineChars="200"/>
        <w:jc w:val="left"/>
        <w:rPr>
          <w:rFonts w:ascii="仿宋_GB2312" w:hAnsi="仿宋" w:eastAsia="仿宋_GB2312"/>
          <w:sz w:val="30"/>
          <w:szCs w:val="30"/>
        </w:rPr>
      </w:pPr>
      <w:r>
        <w:rPr>
          <w:rFonts w:hint="eastAsia" w:ascii="仿宋_GB2312" w:hAnsi="仿宋" w:eastAsia="仿宋_GB2312"/>
          <w:sz w:val="30"/>
          <w:szCs w:val="30"/>
        </w:rPr>
        <w:t>注2：以下需（可）提供的招标文件均需加盖公章。</w:t>
      </w:r>
    </w:p>
    <w:p w14:paraId="3F56AB67">
      <w:pPr>
        <w:spacing w:line="500" w:lineRule="exact"/>
        <w:ind w:firstLine="600" w:firstLineChars="200"/>
        <w:jc w:val="left"/>
        <w:rPr>
          <w:rFonts w:ascii="仿宋_GB2312" w:hAnsi="仿宋" w:eastAsia="仿宋_GB2312"/>
          <w:sz w:val="30"/>
          <w:szCs w:val="30"/>
        </w:rPr>
      </w:pPr>
      <w:r>
        <w:rPr>
          <w:rFonts w:hint="eastAsia" w:ascii="仿宋_GB2312" w:hAnsi="仿宋" w:eastAsia="仿宋_GB2312"/>
          <w:sz w:val="30"/>
          <w:szCs w:val="30"/>
        </w:rPr>
        <w:t>注3：为提高评标效率，请投标人按照所列的资料清单内容及顺序编制投标文件，如投标人未按照以下内容及顺序编制投标文件，可能会影响得分，请各投标单位务必注意。</w:t>
      </w:r>
    </w:p>
    <w:p w14:paraId="655F16BB">
      <w:pPr>
        <w:spacing w:line="500" w:lineRule="exact"/>
        <w:ind w:firstLine="602" w:firstLineChars="200"/>
        <w:jc w:val="left"/>
        <w:outlineLvl w:val="2"/>
        <w:rPr>
          <w:rFonts w:ascii="仿宋_GB2312" w:hAnsi="仿宋" w:eastAsia="仿宋_GB2312"/>
          <w:b/>
          <w:bCs/>
          <w:sz w:val="30"/>
          <w:szCs w:val="30"/>
        </w:rPr>
      </w:pPr>
      <w:r>
        <w:rPr>
          <w:rFonts w:hint="eastAsia" w:ascii="仿宋_GB2312" w:hAnsi="仿宋" w:eastAsia="仿宋_GB2312"/>
          <w:b/>
          <w:bCs/>
          <w:sz w:val="30"/>
          <w:szCs w:val="30"/>
        </w:rPr>
        <w:t>1.1资格证明文件包括：</w:t>
      </w:r>
    </w:p>
    <w:p w14:paraId="623112A0">
      <w:pPr>
        <w:spacing w:line="500" w:lineRule="exact"/>
        <w:ind w:firstLine="600" w:firstLineChars="200"/>
        <w:jc w:val="left"/>
        <w:rPr>
          <w:rFonts w:ascii="仿宋_GB2312" w:hAnsi="仿宋" w:eastAsia="仿宋_GB2312"/>
          <w:sz w:val="30"/>
          <w:szCs w:val="30"/>
        </w:rPr>
      </w:pPr>
      <w:r>
        <w:rPr>
          <w:rFonts w:hint="eastAsia" w:ascii="仿宋_GB2312" w:hAnsi="仿宋" w:eastAsia="仿宋_GB2312"/>
          <w:sz w:val="30"/>
          <w:szCs w:val="30"/>
        </w:rPr>
        <w:t>（1）营业执照等相关经营资质复印件；</w:t>
      </w:r>
    </w:p>
    <w:p w14:paraId="7AC14580">
      <w:pPr>
        <w:spacing w:line="500" w:lineRule="exact"/>
        <w:ind w:firstLine="600" w:firstLineChars="200"/>
        <w:jc w:val="left"/>
        <w:rPr>
          <w:rFonts w:ascii="仿宋_GB2312" w:hAnsi="仿宋" w:eastAsia="仿宋_GB2312"/>
          <w:sz w:val="30"/>
          <w:szCs w:val="30"/>
        </w:rPr>
      </w:pPr>
      <w:r>
        <w:rPr>
          <w:rFonts w:hint="eastAsia" w:ascii="仿宋_GB2312" w:hAnsi="仿宋" w:eastAsia="仿宋_GB2312"/>
          <w:sz w:val="30"/>
          <w:szCs w:val="30"/>
        </w:rPr>
        <w:t>（2）法定代表人或授权代理人身份证复印件和法定代表人授权委托书；</w:t>
      </w:r>
    </w:p>
    <w:p w14:paraId="5A886568">
      <w:pPr>
        <w:spacing w:line="500" w:lineRule="exact"/>
        <w:ind w:firstLine="600" w:firstLineChars="200"/>
        <w:jc w:val="left"/>
        <w:rPr>
          <w:rFonts w:ascii="仿宋_GB2312" w:hAnsi="仿宋" w:eastAsia="仿宋_GB2312"/>
          <w:sz w:val="30"/>
          <w:szCs w:val="30"/>
        </w:rPr>
      </w:pPr>
      <w:r>
        <w:rPr>
          <w:rFonts w:hint="eastAsia" w:ascii="仿宋_GB2312" w:hAnsi="仿宋" w:eastAsia="仿宋_GB2312"/>
          <w:sz w:val="30"/>
          <w:szCs w:val="30"/>
        </w:rPr>
        <w:t>（3）投标人基本情况表；</w:t>
      </w:r>
    </w:p>
    <w:p w14:paraId="43140553">
      <w:pPr>
        <w:spacing w:line="500" w:lineRule="exact"/>
        <w:ind w:firstLine="600" w:firstLineChars="200"/>
        <w:jc w:val="left"/>
        <w:rPr>
          <w:rFonts w:ascii="仿宋_GB2312" w:hAnsi="仿宋" w:eastAsia="仿宋_GB2312"/>
          <w:sz w:val="30"/>
          <w:szCs w:val="30"/>
        </w:rPr>
      </w:pPr>
      <w:r>
        <w:rPr>
          <w:rFonts w:hint="eastAsia" w:ascii="仿宋_GB2312" w:hAnsi="仿宋" w:eastAsia="仿宋_GB2312"/>
          <w:sz w:val="30"/>
          <w:szCs w:val="30"/>
        </w:rPr>
        <w:t>（4）服务承诺函；</w:t>
      </w:r>
    </w:p>
    <w:p w14:paraId="430D8A65">
      <w:pPr>
        <w:spacing w:line="500" w:lineRule="exact"/>
        <w:ind w:firstLine="600" w:firstLineChars="200"/>
        <w:jc w:val="left"/>
        <w:rPr>
          <w:rFonts w:ascii="仿宋_GB2312" w:hAnsi="仿宋" w:eastAsia="仿宋_GB2312"/>
          <w:sz w:val="30"/>
          <w:szCs w:val="30"/>
        </w:rPr>
      </w:pPr>
      <w:r>
        <w:rPr>
          <w:rFonts w:hint="eastAsia" w:ascii="仿宋_GB2312" w:hAnsi="仿宋" w:eastAsia="仿宋_GB2312"/>
          <w:sz w:val="30"/>
          <w:szCs w:val="30"/>
        </w:rPr>
        <w:t>（5）投标人信誉良好，无招标违法违规、谎报年度报告信息、提供虚假资质资料等行为或其他与本投标项目有关的行政处罚的证明材料；（“国家企业信用信息公示系统”、“中国执行信息公开网”、“信用中国”、“天眼查”、“判决文书网”等信息平台信用中国截图,至少一项）；</w:t>
      </w:r>
    </w:p>
    <w:p w14:paraId="1F4E4907">
      <w:pPr>
        <w:spacing w:line="500" w:lineRule="exact"/>
        <w:ind w:firstLine="600" w:firstLineChars="200"/>
        <w:jc w:val="left"/>
        <w:rPr>
          <w:rFonts w:ascii="仿宋_GB2312" w:hAnsi="仿宋" w:eastAsia="仿宋_GB2312"/>
          <w:sz w:val="30"/>
          <w:szCs w:val="30"/>
        </w:rPr>
      </w:pPr>
      <w:r>
        <w:rPr>
          <w:rFonts w:hint="eastAsia" w:ascii="仿宋_GB2312" w:hAnsi="仿宋" w:eastAsia="仿宋_GB2312"/>
          <w:sz w:val="30"/>
          <w:szCs w:val="30"/>
        </w:rPr>
        <w:t>（6）投标人的直接或间接股东、法定代表人、董事、监事、高管非重汽员工及亲属的证明；</w:t>
      </w:r>
    </w:p>
    <w:p w14:paraId="7DC8C3CA">
      <w:pPr>
        <w:spacing w:line="500" w:lineRule="exact"/>
        <w:ind w:firstLine="600" w:firstLineChars="200"/>
        <w:jc w:val="left"/>
        <w:rPr>
          <w:rFonts w:ascii="仿宋_GB2312" w:hAnsi="仿宋" w:eastAsia="仿宋_GB2312"/>
          <w:sz w:val="30"/>
          <w:szCs w:val="30"/>
        </w:rPr>
      </w:pPr>
      <w:r>
        <w:rPr>
          <w:rFonts w:hint="eastAsia" w:ascii="仿宋_GB2312" w:hAnsi="仿宋" w:eastAsia="仿宋_GB2312"/>
          <w:sz w:val="30"/>
          <w:szCs w:val="30"/>
        </w:rPr>
        <w:t>（7）企业最近半年完税证明、信用证明材料（中国人民银</w:t>
      </w:r>
    </w:p>
    <w:p w14:paraId="501AA5B9">
      <w:pPr>
        <w:spacing w:line="500" w:lineRule="exact"/>
        <w:jc w:val="left"/>
        <w:rPr>
          <w:rFonts w:ascii="仿宋_GB2312" w:hAnsi="仿宋" w:eastAsia="仿宋_GB2312"/>
          <w:sz w:val="30"/>
          <w:szCs w:val="30"/>
        </w:rPr>
      </w:pPr>
      <w:r>
        <w:rPr>
          <w:rFonts w:hint="eastAsia" w:ascii="仿宋_GB2312" w:hAnsi="仿宋" w:eastAsia="仿宋_GB2312"/>
          <w:sz w:val="30"/>
          <w:szCs w:val="30"/>
        </w:rPr>
        <w:t>行信用代码证+征信报告）；</w:t>
      </w:r>
    </w:p>
    <w:p w14:paraId="7DADC27C">
      <w:pPr>
        <w:spacing w:line="500" w:lineRule="exact"/>
        <w:ind w:firstLine="600" w:firstLineChars="200"/>
        <w:jc w:val="left"/>
        <w:rPr>
          <w:rFonts w:ascii="仿宋_GB2312" w:hAnsi="仿宋" w:eastAsia="仿宋_GB2312"/>
          <w:sz w:val="30"/>
          <w:szCs w:val="30"/>
        </w:rPr>
      </w:pPr>
      <w:r>
        <w:rPr>
          <w:rFonts w:hint="eastAsia" w:ascii="仿宋_GB2312" w:hAnsi="仿宋" w:eastAsia="仿宋_GB2312"/>
          <w:sz w:val="30"/>
          <w:szCs w:val="30"/>
        </w:rPr>
        <w:t xml:space="preserve">（8）年度纳税信用评价信息（可从电子税务局查询截图，需加盖公章）； </w:t>
      </w:r>
    </w:p>
    <w:p w14:paraId="6D9C0073">
      <w:pPr>
        <w:spacing w:line="500" w:lineRule="exact"/>
        <w:ind w:firstLine="600" w:firstLineChars="200"/>
        <w:jc w:val="left"/>
        <w:rPr>
          <w:rFonts w:ascii="仿宋_GB2312" w:hAnsi="仿宋" w:eastAsia="仿宋_GB2312"/>
          <w:sz w:val="30"/>
          <w:szCs w:val="30"/>
        </w:rPr>
      </w:pPr>
      <w:r>
        <w:rPr>
          <w:rFonts w:hint="eastAsia" w:ascii="仿宋_GB2312" w:hAnsi="仿宋" w:eastAsia="仿宋_GB2312"/>
          <w:sz w:val="30"/>
          <w:szCs w:val="30"/>
        </w:rPr>
        <w:t>（9）企业对外担保说明（写明贵单位对外有无对外担保和</w:t>
      </w:r>
    </w:p>
    <w:p w14:paraId="1C3ABE19">
      <w:pPr>
        <w:spacing w:line="500" w:lineRule="exact"/>
        <w:jc w:val="left"/>
        <w:rPr>
          <w:rFonts w:ascii="仿宋_GB2312" w:hAnsi="仿宋" w:eastAsia="仿宋_GB2312"/>
          <w:sz w:val="30"/>
          <w:szCs w:val="30"/>
        </w:rPr>
      </w:pPr>
      <w:r>
        <w:rPr>
          <w:rFonts w:hint="eastAsia" w:ascii="仿宋_GB2312" w:hAnsi="仿宋" w:eastAsia="仿宋_GB2312"/>
          <w:sz w:val="30"/>
          <w:szCs w:val="30"/>
        </w:rPr>
        <w:t>质押业务，需加盖公章）;</w:t>
      </w:r>
    </w:p>
    <w:p w14:paraId="7BA2AD3E">
      <w:pPr>
        <w:spacing w:line="500" w:lineRule="exact"/>
        <w:ind w:firstLine="600" w:firstLineChars="200"/>
        <w:jc w:val="left"/>
        <w:rPr>
          <w:rFonts w:ascii="仿宋_GB2312" w:hAnsi="仿宋" w:eastAsia="仿宋_GB2312"/>
          <w:sz w:val="30"/>
          <w:szCs w:val="30"/>
        </w:rPr>
      </w:pPr>
      <w:r>
        <w:rPr>
          <w:rFonts w:hint="eastAsia" w:ascii="仿宋_GB2312" w:hAnsi="仿宋" w:eastAsia="仿宋_GB2312"/>
          <w:sz w:val="30"/>
          <w:szCs w:val="30"/>
        </w:rPr>
        <w:t>（10</w:t>
      </w:r>
      <w:r>
        <w:rPr>
          <w:rFonts w:ascii="仿宋_GB2312" w:hAnsi="仿宋" w:eastAsia="仿宋_GB2312"/>
          <w:sz w:val="30"/>
          <w:szCs w:val="30"/>
        </w:rPr>
        <w:t>）</w:t>
      </w:r>
      <w:r>
        <w:rPr>
          <w:rFonts w:hint="eastAsia" w:ascii="仿宋_GB2312" w:hAnsi="仿宋" w:eastAsia="仿宋_GB2312"/>
          <w:sz w:val="30"/>
          <w:szCs w:val="30"/>
        </w:rPr>
        <w:t>经会计师事务所审计且出具无保留意见的</w:t>
      </w:r>
      <w:r>
        <w:rPr>
          <w:rFonts w:hint="eastAsia" w:ascii="黑体" w:hAnsi="黑体" w:eastAsia="黑体" w:cs="黑体"/>
          <w:b/>
          <w:bCs/>
          <w:sz w:val="30"/>
          <w:szCs w:val="30"/>
        </w:rPr>
        <w:t>近三年的财务审计报告，并加盖公章</w:t>
      </w:r>
      <w:r>
        <w:rPr>
          <w:rFonts w:hint="eastAsia" w:ascii="仿宋_GB2312" w:hAnsi="仿宋" w:eastAsia="仿宋_GB2312"/>
          <w:sz w:val="30"/>
          <w:szCs w:val="30"/>
        </w:rPr>
        <w:t>，包括但不限于报告页、经审计的资产负债表、利润表、现金流量表及报表附注;</w:t>
      </w:r>
    </w:p>
    <w:p w14:paraId="45CF1A79">
      <w:pPr>
        <w:spacing w:line="500" w:lineRule="exact"/>
        <w:ind w:firstLine="600" w:firstLineChars="200"/>
        <w:jc w:val="left"/>
        <w:rPr>
          <w:rFonts w:ascii="仿宋_GB2312" w:hAnsi="仿宋" w:eastAsia="仿宋_GB2312"/>
          <w:sz w:val="30"/>
          <w:szCs w:val="30"/>
        </w:rPr>
      </w:pPr>
      <w:r>
        <w:rPr>
          <w:rFonts w:hint="eastAsia" w:ascii="仿宋_GB2312" w:hAnsi="仿宋" w:eastAsia="仿宋_GB2312"/>
          <w:sz w:val="30"/>
          <w:szCs w:val="30"/>
        </w:rPr>
        <w:t>如投标人公司没有经审计的财务报告，</w:t>
      </w:r>
      <w:r>
        <w:rPr>
          <w:rFonts w:hint="eastAsia" w:ascii="黑体" w:hAnsi="黑体" w:eastAsia="黑体" w:cs="黑体"/>
          <w:b/>
          <w:bCs/>
          <w:sz w:val="30"/>
          <w:szCs w:val="30"/>
        </w:rPr>
        <w:t>可提供加盖公章的近三年财务报表</w:t>
      </w:r>
      <w:r>
        <w:rPr>
          <w:rFonts w:hint="eastAsia" w:ascii="仿宋_GB2312" w:hAnsi="仿宋" w:eastAsia="仿宋_GB2312"/>
          <w:sz w:val="30"/>
          <w:szCs w:val="30"/>
        </w:rPr>
        <w:t>，包括但不限于资产负债表、利润表、现金流量表。应提供中文版本的审计报告或财务报表；</w:t>
      </w:r>
    </w:p>
    <w:p w14:paraId="7E5B1CCB">
      <w:pPr>
        <w:spacing w:line="500" w:lineRule="exact"/>
        <w:ind w:firstLine="600" w:firstLineChars="200"/>
        <w:jc w:val="left"/>
        <w:rPr>
          <w:rFonts w:ascii="仿宋_GB2312" w:hAnsi="仿宋" w:eastAsia="仿宋_GB2312"/>
          <w:sz w:val="30"/>
          <w:szCs w:val="30"/>
        </w:rPr>
      </w:pPr>
      <w:r>
        <w:rPr>
          <w:rFonts w:hint="eastAsia" w:ascii="仿宋_GB2312" w:hAnsi="仿宋" w:eastAsia="仿宋_GB2312"/>
          <w:sz w:val="30"/>
          <w:szCs w:val="30"/>
        </w:rPr>
        <w:t>（11）投标人认为对其投标有利的其他资料；</w:t>
      </w:r>
    </w:p>
    <w:p w14:paraId="19D1EE4F">
      <w:pPr>
        <w:spacing w:line="500" w:lineRule="exact"/>
        <w:ind w:firstLine="600" w:firstLineChars="200"/>
        <w:jc w:val="left"/>
        <w:rPr>
          <w:rFonts w:ascii="仿宋_GB2312" w:hAnsi="仿宋" w:eastAsia="仿宋_GB2312"/>
          <w:sz w:val="30"/>
          <w:szCs w:val="30"/>
        </w:rPr>
      </w:pPr>
      <w:r>
        <w:rPr>
          <w:rFonts w:hint="eastAsia" w:ascii="仿宋_GB2312" w:hAnsi="仿宋" w:eastAsia="仿宋_GB2312"/>
          <w:sz w:val="30"/>
          <w:szCs w:val="30"/>
        </w:rPr>
        <w:t>（12）法律法规对合格投标人的其他要求、规定。</w:t>
      </w:r>
    </w:p>
    <w:p w14:paraId="2313C160">
      <w:pPr>
        <w:spacing w:line="500" w:lineRule="exact"/>
        <w:ind w:firstLine="602" w:firstLineChars="200"/>
        <w:jc w:val="left"/>
        <w:outlineLvl w:val="2"/>
        <w:rPr>
          <w:rFonts w:ascii="仿宋_GB2312" w:hAnsi="仿宋" w:eastAsia="仿宋_GB2312"/>
          <w:b/>
          <w:bCs/>
          <w:sz w:val="30"/>
          <w:szCs w:val="30"/>
        </w:rPr>
      </w:pPr>
      <w:r>
        <w:rPr>
          <w:rFonts w:hint="eastAsia" w:ascii="仿宋_GB2312" w:hAnsi="仿宋" w:eastAsia="仿宋_GB2312"/>
          <w:b/>
          <w:bCs/>
          <w:sz w:val="30"/>
          <w:szCs w:val="30"/>
        </w:rPr>
        <w:t>1.2技术部分文件包括：</w:t>
      </w:r>
    </w:p>
    <w:p w14:paraId="27904ABF">
      <w:pPr>
        <w:spacing w:line="500" w:lineRule="exact"/>
        <w:ind w:firstLine="600" w:firstLineChars="200"/>
        <w:jc w:val="left"/>
        <w:rPr>
          <w:rFonts w:ascii="仿宋_GB2312" w:hAnsi="仿宋" w:eastAsia="仿宋_GB2312"/>
          <w:sz w:val="30"/>
          <w:szCs w:val="30"/>
        </w:rPr>
      </w:pPr>
      <w:r>
        <w:rPr>
          <w:rFonts w:hint="eastAsia" w:ascii="仿宋_GB2312" w:hAnsi="仿宋" w:eastAsia="仿宋_GB2312"/>
          <w:sz w:val="30"/>
          <w:szCs w:val="30"/>
        </w:rPr>
        <w:t>（1）培训项目实施方案；（需承诺项目需求人员到位时间）</w:t>
      </w:r>
    </w:p>
    <w:p w14:paraId="1DC0E179">
      <w:pPr>
        <w:spacing w:line="500" w:lineRule="exact"/>
        <w:ind w:firstLine="600" w:firstLineChars="200"/>
        <w:jc w:val="left"/>
        <w:rPr>
          <w:rFonts w:ascii="仿宋_GB2312" w:hAnsi="仿宋" w:eastAsia="仿宋_GB2312"/>
          <w:sz w:val="30"/>
          <w:szCs w:val="30"/>
        </w:rPr>
      </w:pPr>
      <w:r>
        <w:rPr>
          <w:rFonts w:hint="eastAsia" w:ascii="仿宋_GB2312" w:hAnsi="仿宋" w:eastAsia="仿宋_GB2312"/>
          <w:sz w:val="30"/>
          <w:szCs w:val="30"/>
        </w:rPr>
        <w:t>（2）相关培训项目案例；</w:t>
      </w:r>
    </w:p>
    <w:p w14:paraId="38A04BAA">
      <w:pPr>
        <w:spacing w:line="500" w:lineRule="exact"/>
        <w:ind w:firstLine="600" w:firstLineChars="200"/>
        <w:jc w:val="left"/>
        <w:rPr>
          <w:rFonts w:ascii="仿宋_GB2312" w:hAnsi="仿宋" w:eastAsia="仿宋_GB2312"/>
          <w:sz w:val="30"/>
          <w:szCs w:val="30"/>
        </w:rPr>
      </w:pPr>
      <w:r>
        <w:rPr>
          <w:rFonts w:hint="eastAsia" w:ascii="仿宋_GB2312" w:hAnsi="仿宋" w:eastAsia="仿宋_GB2312"/>
          <w:sz w:val="30"/>
          <w:szCs w:val="30"/>
        </w:rPr>
        <w:t>（3）投标人认为对其投标有利的其他资料。</w:t>
      </w:r>
    </w:p>
    <w:p w14:paraId="1CA44981">
      <w:pPr>
        <w:spacing w:line="500" w:lineRule="exact"/>
        <w:ind w:firstLine="602" w:firstLineChars="200"/>
        <w:jc w:val="left"/>
        <w:outlineLvl w:val="2"/>
        <w:rPr>
          <w:rFonts w:ascii="仿宋_GB2312" w:hAnsi="仿宋" w:eastAsia="仿宋_GB2312"/>
          <w:b/>
          <w:bCs/>
          <w:sz w:val="30"/>
          <w:szCs w:val="30"/>
        </w:rPr>
      </w:pPr>
      <w:r>
        <w:rPr>
          <w:rFonts w:hint="eastAsia" w:ascii="仿宋_GB2312" w:hAnsi="仿宋" w:eastAsia="仿宋_GB2312"/>
          <w:b/>
          <w:bCs/>
          <w:sz w:val="30"/>
          <w:szCs w:val="30"/>
        </w:rPr>
        <w:t>1.3商务部分文件包括：</w:t>
      </w:r>
    </w:p>
    <w:p w14:paraId="332341C2">
      <w:pPr>
        <w:spacing w:line="500" w:lineRule="exact"/>
        <w:ind w:firstLine="600" w:firstLineChars="200"/>
        <w:jc w:val="left"/>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（1）投标函；</w:t>
      </w:r>
    </w:p>
    <w:p w14:paraId="1AB0AC71">
      <w:pPr>
        <w:spacing w:line="500" w:lineRule="exact"/>
        <w:ind w:firstLine="600" w:firstLineChars="200"/>
        <w:jc w:val="left"/>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（2）投标报价明细表；</w:t>
      </w:r>
    </w:p>
    <w:p w14:paraId="237F6A3A">
      <w:pPr>
        <w:spacing w:line="500" w:lineRule="exact"/>
        <w:ind w:firstLine="600" w:firstLineChars="200"/>
        <w:jc w:val="left"/>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（3）经营业绩一览表；</w:t>
      </w:r>
    </w:p>
    <w:p w14:paraId="53B96A8E">
      <w:pPr>
        <w:spacing w:line="500" w:lineRule="exact"/>
        <w:ind w:firstLine="600" w:firstLineChars="200"/>
        <w:jc w:val="left"/>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（4）对本项目招标文件及“合同条款”的认同说明。</w:t>
      </w:r>
    </w:p>
    <w:p w14:paraId="359EF63B">
      <w:pPr>
        <w:spacing w:line="500" w:lineRule="exact"/>
        <w:ind w:firstLine="600" w:firstLineChars="200"/>
        <w:jc w:val="left"/>
        <w:outlineLvl w:val="1"/>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2.投标文件的装订</w:t>
      </w:r>
    </w:p>
    <w:p w14:paraId="18EF0553">
      <w:pPr>
        <w:spacing w:line="500" w:lineRule="exact"/>
        <w:ind w:firstLine="600" w:firstLineChars="200"/>
        <w:jc w:val="left"/>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投标人必须将投标文件按照投标文件组成的顺序装订成册，并在首页编制“投标文件目录”。一式3份，其中正本一份，副本2份，3份一并封装，并提供扫描或电子版上传e采通系统。</w:t>
      </w:r>
    </w:p>
    <w:p w14:paraId="3C1772AC">
      <w:pPr>
        <w:spacing w:line="500" w:lineRule="exact"/>
        <w:ind w:firstLine="600" w:firstLineChars="200"/>
        <w:jc w:val="left"/>
        <w:outlineLvl w:val="1"/>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3.报价注意事项</w:t>
      </w:r>
    </w:p>
    <w:p w14:paraId="45A6324B">
      <w:pPr>
        <w:spacing w:line="500" w:lineRule="exact"/>
        <w:ind w:firstLine="600" w:firstLineChars="200"/>
        <w:jc w:val="left"/>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3.1投标人要按投标规格名称、投标报价明细表（统一格式）的内容填写报价及其他事项，并由法人代表或授权代表签署。</w:t>
      </w:r>
    </w:p>
    <w:p w14:paraId="10972952">
      <w:pPr>
        <w:spacing w:line="500" w:lineRule="exact"/>
        <w:ind w:firstLine="600" w:firstLineChars="200"/>
        <w:jc w:val="left"/>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3.2大写金额和小写金额不一致时，以大写金额为准。</w:t>
      </w:r>
    </w:p>
    <w:p w14:paraId="021F6453">
      <w:pPr>
        <w:spacing w:line="500" w:lineRule="exact"/>
        <w:ind w:firstLine="600" w:firstLineChars="200"/>
        <w:jc w:val="left"/>
        <w:outlineLvl w:val="1"/>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4.投标文件签署</w:t>
      </w:r>
    </w:p>
    <w:p w14:paraId="00DE275F">
      <w:pPr>
        <w:spacing w:line="500" w:lineRule="exact"/>
        <w:ind w:firstLine="600" w:firstLineChars="200"/>
        <w:jc w:val="left"/>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4.1投标文件应加盖投标人单位公章（不得使用其他形式如带有“专用章”等字样的印章）并经法定代表人或其委托代理人签字。</w:t>
      </w:r>
    </w:p>
    <w:p w14:paraId="22139470">
      <w:pPr>
        <w:spacing w:line="500" w:lineRule="exact"/>
        <w:ind w:firstLine="600" w:firstLineChars="200"/>
        <w:jc w:val="left"/>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4.2本招标文件提供的投标文件式样中，标注有盖公章、签字之处，应有投标人的盖章、委托代理人的签字或法定代表人的签字。由委托代理人签字的投标资格证明文件中须附授权委托书。</w:t>
      </w:r>
    </w:p>
    <w:p w14:paraId="2C05B96C">
      <w:pPr>
        <w:spacing w:line="500" w:lineRule="exact"/>
        <w:ind w:firstLine="600" w:firstLineChars="200"/>
        <w:jc w:val="left"/>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4.3签字须使用黑色或蓝色不可退色签字笔。</w:t>
      </w:r>
    </w:p>
    <w:p w14:paraId="15EBC5E0">
      <w:pPr>
        <w:spacing w:line="500" w:lineRule="exact"/>
        <w:ind w:firstLine="600" w:firstLineChars="200"/>
        <w:jc w:val="left"/>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注：投标人代表必须按招标文件的规定签署投标文件，否则，其投标文件按无效投标处理。</w:t>
      </w:r>
    </w:p>
    <w:p w14:paraId="7913533F">
      <w:pPr>
        <w:spacing w:line="500" w:lineRule="exact"/>
        <w:ind w:firstLine="602" w:firstLineChars="200"/>
        <w:jc w:val="left"/>
        <w:outlineLvl w:val="0"/>
        <w:rPr>
          <w:rFonts w:ascii="黑体" w:hAnsi="黑体" w:eastAsia="黑体" w:cs="黑体"/>
          <w:b/>
          <w:bCs/>
          <w:sz w:val="30"/>
          <w:szCs w:val="30"/>
        </w:rPr>
      </w:pPr>
      <w:bookmarkStart w:id="6" w:name="_Toc22774"/>
      <w:r>
        <w:rPr>
          <w:rFonts w:hint="eastAsia" w:ascii="黑体" w:hAnsi="黑体" w:eastAsia="黑体" w:cs="黑体"/>
          <w:b/>
          <w:bCs/>
          <w:sz w:val="30"/>
          <w:szCs w:val="30"/>
        </w:rPr>
        <w:t>五、合同签订</w:t>
      </w:r>
      <w:bookmarkEnd w:id="6"/>
    </w:p>
    <w:p w14:paraId="6604E94D">
      <w:pPr>
        <w:spacing w:line="500" w:lineRule="exact"/>
        <w:ind w:firstLine="600" w:firstLineChars="200"/>
        <w:jc w:val="left"/>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1.招标人根据评标工作小组的评标结果确定中标人，并书面通知中标人。</w:t>
      </w:r>
    </w:p>
    <w:p w14:paraId="6818554E">
      <w:pPr>
        <w:spacing w:line="500" w:lineRule="exact"/>
        <w:ind w:firstLine="600" w:firstLineChars="200"/>
        <w:jc w:val="left"/>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2.中标结果将在重汽e采通平台公布。</w:t>
      </w:r>
    </w:p>
    <w:p w14:paraId="40F638E1">
      <w:pPr>
        <w:spacing w:line="500" w:lineRule="exact"/>
        <w:ind w:firstLine="600" w:firstLineChars="200"/>
        <w:jc w:val="left"/>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3.中标人收到中标结果后，应及时与招标人联系，在规定的时间内完成合同签订，如果中标人接到《中标通知书》后，无不正当理由拒签合同、在签订合同时向招标人提出无理附加条件的，取消该投标人的中标资格，该投标人2年内不得参与招标人关于该类服务和培训的招投标项目。</w:t>
      </w:r>
    </w:p>
    <w:p w14:paraId="60990E5C">
      <w:pPr>
        <w:spacing w:line="500" w:lineRule="exact"/>
        <w:ind w:firstLine="600" w:firstLineChars="200"/>
        <w:jc w:val="left"/>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4.中标人应当按照合同约定的履约责任，在保证质量的前提下完成中标项目，不得将中标项目转包或分包给他人，否则视为违约，招标人有权解除合同。</w:t>
      </w:r>
    </w:p>
    <w:p w14:paraId="25F350B0">
      <w:pPr>
        <w:spacing w:line="500" w:lineRule="exact"/>
        <w:ind w:firstLine="600" w:firstLineChars="200"/>
        <w:jc w:val="left"/>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5.在履行合同过程中，中标人由于履行义务的能力或信用有严重缺陷，招标人有权解除合同并取消其中标资格，招标人将从中标候选单位中依序重新确定中标人，或重新组织招标。</w:t>
      </w:r>
    </w:p>
    <w:p w14:paraId="3206D416">
      <w:pPr>
        <w:spacing w:line="500" w:lineRule="exact"/>
        <w:ind w:firstLine="600" w:firstLineChars="200"/>
        <w:jc w:val="left"/>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6.双方的权利义务以最终签署的合同为准</w:t>
      </w:r>
    </w:p>
    <w:p w14:paraId="74177114">
      <w:pPr>
        <w:pStyle w:val="10"/>
        <w:spacing w:line="500" w:lineRule="exact"/>
        <w:ind w:firstLine="602" w:firstLineChars="200"/>
        <w:outlineLvl w:val="0"/>
        <w:rPr>
          <w:rFonts w:ascii="黑体" w:hAnsi="黑体" w:eastAsia="黑体" w:cs="黑体"/>
          <w:b/>
          <w:bCs/>
          <w:sz w:val="30"/>
          <w:szCs w:val="30"/>
        </w:rPr>
      </w:pPr>
      <w:bookmarkStart w:id="7" w:name="_Toc28350"/>
      <w:r>
        <w:rPr>
          <w:rFonts w:hint="eastAsia" w:ascii="黑体" w:hAnsi="黑体" w:eastAsia="黑体" w:cs="黑体"/>
          <w:b/>
          <w:bCs/>
          <w:sz w:val="30"/>
          <w:szCs w:val="30"/>
        </w:rPr>
        <w:t>六、废标及终止招标</w:t>
      </w:r>
      <w:bookmarkEnd w:id="7"/>
    </w:p>
    <w:p w14:paraId="74ECF1BE">
      <w:pPr>
        <w:spacing w:line="500" w:lineRule="exact"/>
        <w:ind w:firstLine="600" w:firstLineChars="200"/>
        <w:jc w:val="left"/>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1.投标人有下列情形之一的，将被视为废标，招标人将按照有关法律法规行使权力。投标人给招标人造成损失的，招标人有索赔的权力，投标人应给予赔偿。</w:t>
      </w:r>
    </w:p>
    <w:p w14:paraId="1D8A7211">
      <w:pPr>
        <w:spacing w:line="500" w:lineRule="exact"/>
        <w:ind w:firstLine="600" w:firstLineChars="200"/>
        <w:jc w:val="left"/>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（1）投标人提供的有关资格、资质证明文件不全、不真实；</w:t>
      </w:r>
    </w:p>
    <w:p w14:paraId="11F62CF1">
      <w:pPr>
        <w:spacing w:line="500" w:lineRule="exact"/>
        <w:ind w:firstLine="600" w:firstLineChars="200"/>
        <w:jc w:val="left"/>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（2）投标人在报价有效期内撤回投标；</w:t>
      </w:r>
    </w:p>
    <w:p w14:paraId="5EC91007">
      <w:pPr>
        <w:spacing w:line="500" w:lineRule="exact"/>
        <w:ind w:firstLine="600" w:firstLineChars="200"/>
        <w:jc w:val="left"/>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（3）在评标过程中，投标人有企图影响评标结果公正性的任何项目；</w:t>
      </w:r>
    </w:p>
    <w:p w14:paraId="413A67E0">
      <w:pPr>
        <w:spacing w:line="500" w:lineRule="exact"/>
        <w:ind w:firstLine="600" w:firstLineChars="200"/>
        <w:jc w:val="left"/>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（4）投标人以任何形式诋毁他人投标；</w:t>
      </w:r>
    </w:p>
    <w:p w14:paraId="72206E00">
      <w:pPr>
        <w:spacing w:line="500" w:lineRule="exact"/>
        <w:ind w:firstLine="600" w:firstLineChars="200"/>
        <w:jc w:val="left"/>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（5）以他人名义投标或以任何方式骗取中标；</w:t>
      </w:r>
    </w:p>
    <w:p w14:paraId="7A8600A3">
      <w:pPr>
        <w:spacing w:line="500" w:lineRule="exact"/>
        <w:ind w:firstLine="600" w:firstLineChars="200"/>
        <w:jc w:val="left"/>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（6）投标人对招标文件做出实质性变更</w:t>
      </w:r>
      <w:bookmarkStart w:id="8" w:name="_Hlk105656847"/>
      <w:r>
        <w:rPr>
          <w:rFonts w:hint="eastAsia" w:ascii="仿宋_GB2312" w:hAnsi="仿宋_GB2312" w:eastAsia="仿宋_GB2312" w:cs="仿宋_GB2312"/>
          <w:sz w:val="30"/>
          <w:szCs w:val="30"/>
        </w:rPr>
        <w:t>；</w:t>
      </w:r>
      <w:bookmarkEnd w:id="8"/>
    </w:p>
    <w:p w14:paraId="071BE80B">
      <w:pPr>
        <w:spacing w:line="500" w:lineRule="exact"/>
        <w:ind w:firstLine="600" w:firstLineChars="200"/>
        <w:jc w:val="left"/>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（7）投标人被举报、检举，并经招标方查实无误的；</w:t>
      </w:r>
    </w:p>
    <w:p w14:paraId="4A7B6203">
      <w:pPr>
        <w:spacing w:line="500" w:lineRule="exact"/>
        <w:ind w:firstLine="600" w:firstLineChars="200"/>
        <w:jc w:val="left"/>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（8）投标单位负责人为同一人或存在管理关系的。</w:t>
      </w:r>
    </w:p>
    <w:p w14:paraId="05EB93E7">
      <w:pPr>
        <w:spacing w:line="500" w:lineRule="exact"/>
        <w:ind w:firstLine="600" w:firstLineChars="200"/>
        <w:jc w:val="left"/>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（9）法律、法规规定的其他情况。</w:t>
      </w:r>
    </w:p>
    <w:p w14:paraId="30D3755F">
      <w:pPr>
        <w:spacing w:line="500" w:lineRule="exact"/>
        <w:ind w:firstLine="600" w:firstLineChars="200"/>
        <w:jc w:val="left"/>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2.出现下列情形，招标人有权否决投标人的投标，并终止招标。</w:t>
      </w:r>
    </w:p>
    <w:p w14:paraId="6478D159">
      <w:pPr>
        <w:spacing w:line="500" w:lineRule="exact"/>
        <w:ind w:firstLine="600" w:firstLineChars="200"/>
        <w:jc w:val="left"/>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（1）出现影响评审公正性的违法、违规行为；</w:t>
      </w:r>
    </w:p>
    <w:p w14:paraId="0F8FF419">
      <w:pPr>
        <w:spacing w:line="500" w:lineRule="exact"/>
        <w:ind w:firstLine="600" w:firstLineChars="200"/>
        <w:jc w:val="left"/>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（2）因重大变故，本项目取消；</w:t>
      </w:r>
    </w:p>
    <w:p w14:paraId="33841633">
      <w:pPr>
        <w:spacing w:line="500" w:lineRule="exact"/>
        <w:ind w:firstLine="600" w:firstLineChars="200"/>
        <w:jc w:val="left"/>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（3）符合投标条件的投标方或者对招标文件做实质响应的投标方不足3家的；</w:t>
      </w:r>
    </w:p>
    <w:p w14:paraId="5D119FDE">
      <w:pPr>
        <w:spacing w:line="500" w:lineRule="exact"/>
        <w:ind w:firstLine="600" w:firstLineChars="200"/>
        <w:jc w:val="left"/>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（4）不同投标人的投标文件异常一致或者投标报价呈规律性差异的；</w:t>
      </w:r>
    </w:p>
    <w:p w14:paraId="382FB9AE">
      <w:pPr>
        <w:spacing w:line="500" w:lineRule="exact"/>
        <w:ind w:firstLine="600" w:firstLineChars="200"/>
        <w:jc w:val="left"/>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（5）投标人报价均超过投标限价的；</w:t>
      </w:r>
    </w:p>
    <w:p w14:paraId="436D02DC">
      <w:pPr>
        <w:spacing w:line="500" w:lineRule="exact"/>
        <w:ind w:firstLine="600" w:firstLineChars="200"/>
        <w:jc w:val="left"/>
        <w:rPr>
          <w:rFonts w:hint="eastAsia" w:ascii="仿宋_GB2312" w:hAnsi="仿宋_GB2312" w:eastAsia="仿宋_GB2312" w:cs="仿宋_GB2312"/>
          <w:sz w:val="30"/>
          <w:szCs w:val="30"/>
        </w:rPr>
      </w:pPr>
      <w:r>
        <w:rPr>
          <w:rFonts w:hint="eastAsia" w:ascii="仿宋_GB2312" w:hAnsi="仿宋_GB2312" w:eastAsia="仿宋_GB2312" w:cs="仿宋_GB2312"/>
          <w:sz w:val="30"/>
          <w:szCs w:val="30"/>
        </w:rPr>
        <w:t>（6）招标人认为其他应终止招标的情形。</w:t>
      </w:r>
    </w:p>
    <w:p w14:paraId="4282A904">
      <w:pPr>
        <w:pStyle w:val="10"/>
        <w:spacing w:line="500" w:lineRule="exact"/>
        <w:ind w:firstLine="602" w:firstLineChars="200"/>
        <w:outlineLvl w:val="0"/>
        <w:rPr>
          <w:rFonts w:ascii="黑体" w:hAnsi="黑体" w:eastAsia="黑体" w:cs="黑体"/>
          <w:b/>
          <w:bCs/>
          <w:sz w:val="30"/>
          <w:szCs w:val="30"/>
        </w:rPr>
      </w:pPr>
      <w:bookmarkStart w:id="9" w:name="_Toc8621"/>
      <w:r>
        <w:rPr>
          <w:rFonts w:hint="eastAsia" w:ascii="黑体" w:hAnsi="黑体" w:eastAsia="黑体" w:cs="黑体"/>
          <w:b/>
          <w:bCs/>
          <w:sz w:val="30"/>
          <w:szCs w:val="30"/>
        </w:rPr>
        <w:t>七、中标人瑕疵滞后发现的处理原则</w:t>
      </w:r>
      <w:bookmarkEnd w:id="9"/>
    </w:p>
    <w:p w14:paraId="7D17569D">
      <w:pPr>
        <w:spacing w:line="500" w:lineRule="exact"/>
        <w:ind w:firstLine="600" w:firstLineChars="200"/>
        <w:jc w:val="left"/>
        <w:rPr>
          <w:rFonts w:ascii="仿宋_GB2312" w:hAnsi="仿宋" w:eastAsia="仿宋_GB2312"/>
          <w:sz w:val="30"/>
          <w:szCs w:val="30"/>
        </w:rPr>
      </w:pPr>
      <w:r>
        <w:rPr>
          <w:rFonts w:hint="eastAsia" w:ascii="仿宋_GB2312" w:hAnsi="仿宋" w:eastAsia="仿宋_GB2312"/>
          <w:sz w:val="30"/>
          <w:szCs w:val="30"/>
        </w:rPr>
        <w:t>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2F5DA0EE">
      <w:pPr>
        <w:pStyle w:val="10"/>
        <w:spacing w:line="500" w:lineRule="exact"/>
        <w:ind w:firstLine="602" w:firstLineChars="200"/>
        <w:outlineLvl w:val="0"/>
        <w:rPr>
          <w:rFonts w:ascii="黑体" w:hAnsi="黑体" w:eastAsia="黑体" w:cs="黑体"/>
          <w:b/>
          <w:bCs/>
          <w:sz w:val="30"/>
          <w:szCs w:val="30"/>
        </w:rPr>
      </w:pPr>
      <w:bookmarkStart w:id="10" w:name="_Toc10048"/>
      <w:r>
        <w:rPr>
          <w:rFonts w:hint="eastAsia" w:ascii="黑体" w:hAnsi="黑体" w:eastAsia="黑体" w:cs="黑体"/>
          <w:b/>
          <w:bCs/>
          <w:sz w:val="30"/>
          <w:szCs w:val="30"/>
        </w:rPr>
        <w:t>八、投标文件格式</w:t>
      </w:r>
      <w:bookmarkEnd w:id="10"/>
    </w:p>
    <w:p w14:paraId="049E3B1B">
      <w:pPr>
        <w:spacing w:line="500" w:lineRule="exact"/>
        <w:ind w:firstLine="600" w:firstLineChars="200"/>
        <w:jc w:val="left"/>
        <w:rPr>
          <w:rFonts w:ascii="仿宋_GB2312" w:hAnsi="仿宋" w:eastAsia="仿宋_GB2312"/>
          <w:sz w:val="30"/>
          <w:szCs w:val="30"/>
        </w:rPr>
      </w:pPr>
      <w:r>
        <w:rPr>
          <w:rFonts w:hint="eastAsia" w:ascii="仿宋_GB2312" w:hAnsi="仿宋" w:eastAsia="仿宋_GB2312"/>
          <w:sz w:val="30"/>
          <w:szCs w:val="30"/>
        </w:rPr>
        <w:t>详见附件。</w:t>
      </w:r>
    </w:p>
    <w:p w14:paraId="4F26693A">
      <w:pPr>
        <w:pStyle w:val="10"/>
        <w:spacing w:line="500" w:lineRule="exact"/>
        <w:ind w:firstLine="602" w:firstLineChars="200"/>
        <w:outlineLvl w:val="0"/>
        <w:rPr>
          <w:rFonts w:ascii="黑体" w:hAnsi="黑体" w:eastAsia="黑体" w:cs="黑体"/>
          <w:b/>
          <w:bCs/>
          <w:sz w:val="30"/>
          <w:szCs w:val="30"/>
        </w:rPr>
      </w:pPr>
      <w:bookmarkStart w:id="11" w:name="_Toc2515"/>
      <w:r>
        <w:rPr>
          <w:rFonts w:hint="eastAsia" w:ascii="黑体" w:hAnsi="黑体" w:eastAsia="黑体" w:cs="黑体"/>
          <w:b/>
          <w:bCs/>
          <w:sz w:val="30"/>
          <w:szCs w:val="30"/>
        </w:rPr>
        <w:t>九、技术协议书</w:t>
      </w:r>
      <w:bookmarkEnd w:id="11"/>
    </w:p>
    <w:p w14:paraId="06A560E7">
      <w:pPr>
        <w:spacing w:line="500" w:lineRule="exact"/>
        <w:ind w:firstLine="600" w:firstLineChars="200"/>
        <w:jc w:val="left"/>
        <w:rPr>
          <w:rFonts w:ascii="仿宋_GB2312" w:hAnsi="仿宋" w:eastAsia="仿宋_GB2312"/>
          <w:sz w:val="30"/>
          <w:szCs w:val="30"/>
        </w:rPr>
      </w:pPr>
      <w:r>
        <w:rPr>
          <w:rFonts w:hint="eastAsia" w:ascii="仿宋_GB2312" w:hAnsi="仿宋" w:eastAsia="仿宋_GB2312"/>
          <w:sz w:val="30"/>
          <w:szCs w:val="30"/>
        </w:rPr>
        <w:t>附后，以最后签订版本为准。</w:t>
      </w:r>
    </w:p>
    <w:p w14:paraId="13365FAC">
      <w:pPr>
        <w:pStyle w:val="10"/>
        <w:spacing w:line="500" w:lineRule="exact"/>
        <w:ind w:firstLine="602" w:firstLineChars="200"/>
        <w:outlineLvl w:val="0"/>
        <w:rPr>
          <w:rFonts w:ascii="黑体" w:hAnsi="黑体" w:eastAsia="黑体" w:cs="黑体"/>
          <w:b/>
          <w:bCs/>
          <w:sz w:val="30"/>
          <w:szCs w:val="30"/>
        </w:rPr>
      </w:pPr>
      <w:bookmarkStart w:id="12" w:name="_Toc23780"/>
      <w:r>
        <w:rPr>
          <w:rFonts w:hint="eastAsia" w:ascii="黑体" w:hAnsi="黑体" w:eastAsia="黑体" w:cs="黑体"/>
          <w:b/>
          <w:bCs/>
          <w:sz w:val="30"/>
          <w:szCs w:val="30"/>
        </w:rPr>
        <w:t>十、本次招标最终解释权归中国重汽集团济南动力有限公司。</w:t>
      </w:r>
      <w:bookmarkEnd w:id="12"/>
    </w:p>
    <w:p w14:paraId="74736A04">
      <w:pPr>
        <w:spacing w:line="500" w:lineRule="exact"/>
        <w:jc w:val="left"/>
        <w:rPr>
          <w:rFonts w:ascii="仿宋_GB2312" w:hAnsi="仿宋" w:eastAsia="仿宋_GB2312"/>
          <w:sz w:val="30"/>
          <w:szCs w:val="30"/>
        </w:rPr>
      </w:pPr>
    </w:p>
    <w:p w14:paraId="5A27D498">
      <w:pPr>
        <w:pStyle w:val="2"/>
      </w:pPr>
    </w:p>
    <w:p w14:paraId="68C3D656">
      <w:pPr>
        <w:spacing w:line="500" w:lineRule="exact"/>
        <w:ind w:firstLine="600" w:firstLineChars="200"/>
        <w:jc w:val="left"/>
        <w:rPr>
          <w:rFonts w:ascii="仿宋_GB2312" w:hAnsi="仿宋" w:eastAsia="仿宋_GB2312"/>
          <w:sz w:val="30"/>
          <w:szCs w:val="30"/>
        </w:rPr>
      </w:pPr>
      <w:r>
        <w:rPr>
          <w:rFonts w:hint="eastAsia" w:ascii="仿宋_GB2312" w:hAnsi="仿宋" w:eastAsia="仿宋_GB2312"/>
          <w:sz w:val="30"/>
          <w:szCs w:val="30"/>
        </w:rPr>
        <w:t xml:space="preserve">                       中国重汽集团济南动力有限公司</w:t>
      </w:r>
    </w:p>
    <w:p w14:paraId="2769424E">
      <w:pPr>
        <w:spacing w:line="500" w:lineRule="exact"/>
        <w:ind w:firstLine="600" w:firstLineChars="200"/>
        <w:jc w:val="left"/>
        <w:rPr>
          <w:rFonts w:ascii="仿宋_GB2312" w:hAnsi="Calibri" w:eastAsia="仿宋_GB2312"/>
          <w:sz w:val="32"/>
          <w:szCs w:val="32"/>
        </w:rPr>
      </w:pPr>
      <w:r>
        <w:rPr>
          <w:rFonts w:hint="eastAsia" w:ascii="仿宋_GB2312" w:hAnsi="仿宋" w:eastAsia="仿宋_GB2312"/>
          <w:sz w:val="30"/>
          <w:szCs w:val="30"/>
        </w:rPr>
        <w:t xml:space="preserve">                                2024年9月</w:t>
      </w:r>
    </w:p>
    <w:p w14:paraId="58DEC935">
      <w:pPr>
        <w:rPr>
          <w:rFonts w:ascii="宋体" w:hAnsi="宋体" w:cs="宋体"/>
          <w:sz w:val="24"/>
          <w:szCs w:val="24"/>
        </w:rPr>
      </w:pPr>
      <w:bookmarkStart w:id="13" w:name="_Toc13641"/>
      <w:r>
        <w:rPr>
          <w:rFonts w:hint="eastAsia" w:ascii="宋体" w:hAnsi="宋体" w:cs="宋体"/>
          <w:sz w:val="24"/>
          <w:szCs w:val="24"/>
        </w:rPr>
        <w:br w:type="page"/>
      </w:r>
    </w:p>
    <w:p w14:paraId="5DEEBBD7">
      <w:pPr>
        <w:rPr>
          <w:rFonts w:ascii="宋体" w:hAnsi="宋体" w:cs="宋体"/>
          <w:sz w:val="24"/>
          <w:szCs w:val="24"/>
        </w:rPr>
      </w:pPr>
      <w:r>
        <w:rPr>
          <w:rFonts w:hint="eastAsia" w:ascii="宋体" w:hAnsi="宋体" w:cs="宋体"/>
          <w:sz w:val="24"/>
          <w:szCs w:val="24"/>
        </w:rPr>
        <w:t>附件1：</w:t>
      </w:r>
      <w:bookmarkEnd w:id="13"/>
    </w:p>
    <w:p w14:paraId="51B59879">
      <w:pPr>
        <w:pStyle w:val="7"/>
        <w:spacing w:line="460" w:lineRule="exact"/>
        <w:jc w:val="center"/>
        <w:rPr>
          <w:rFonts w:ascii="宋体" w:hAnsi="宋体" w:eastAsia="宋体"/>
          <w:b/>
          <w:bCs/>
          <w:sz w:val="36"/>
          <w:szCs w:val="36"/>
        </w:rPr>
      </w:pPr>
      <w:r>
        <w:rPr>
          <w:rFonts w:hint="eastAsia" w:ascii="宋体" w:hAnsi="宋体" w:eastAsia="宋体" w:cs="宋体"/>
          <w:b/>
          <w:bCs/>
          <w:sz w:val="36"/>
          <w:szCs w:val="36"/>
        </w:rPr>
        <w:t>法定代表人授权委托书</w:t>
      </w:r>
    </w:p>
    <w:p w14:paraId="300B13C1">
      <w:pPr>
        <w:pStyle w:val="7"/>
        <w:spacing w:line="460" w:lineRule="exact"/>
        <w:jc w:val="center"/>
        <w:rPr>
          <w:rFonts w:ascii="宋体" w:hAnsi="宋体" w:eastAsia="宋体"/>
          <w:b/>
          <w:bCs/>
          <w:szCs w:val="32"/>
        </w:rPr>
      </w:pPr>
    </w:p>
    <w:p w14:paraId="4AB686EF">
      <w:pPr>
        <w:pStyle w:val="7"/>
        <w:spacing w:line="560" w:lineRule="exact"/>
        <w:rPr>
          <w:rFonts w:ascii="宋体" w:hAnsi="宋体" w:eastAsia="宋体"/>
          <w:sz w:val="24"/>
          <w:szCs w:val="24"/>
          <w:u w:val="single"/>
        </w:rPr>
      </w:pPr>
      <w:r>
        <w:rPr>
          <w:rFonts w:hint="eastAsia" w:ascii="宋体" w:hAnsi="宋体" w:eastAsia="宋体" w:cs="宋体"/>
          <w:sz w:val="24"/>
          <w:szCs w:val="24"/>
          <w:u w:val="single"/>
        </w:rPr>
        <w:t xml:space="preserve">  中国重汽集团济南动力有限公司 ：</w:t>
      </w:r>
    </w:p>
    <w:p w14:paraId="34A21953">
      <w:pPr>
        <w:pStyle w:val="7"/>
        <w:spacing w:line="560" w:lineRule="exact"/>
        <w:ind w:firstLine="480"/>
        <w:rPr>
          <w:rFonts w:ascii="宋体" w:hAnsi="宋体" w:eastAsia="宋体"/>
          <w:sz w:val="24"/>
          <w:szCs w:val="24"/>
        </w:rPr>
      </w:pPr>
      <w:r>
        <w:rPr>
          <w:rFonts w:ascii="宋体" w:hAnsi="宋体" w:eastAsia="宋体" w:cs="宋体"/>
          <w:sz w:val="24"/>
          <w:szCs w:val="24"/>
          <w:u w:val="single"/>
        </w:rPr>
        <w:t xml:space="preserve">                   </w:t>
      </w:r>
      <w:r>
        <w:rPr>
          <w:rFonts w:hint="eastAsia" w:ascii="宋体" w:hAnsi="宋体" w:eastAsia="宋体" w:cs="宋体"/>
          <w:sz w:val="24"/>
          <w:szCs w:val="24"/>
        </w:rPr>
        <w:t>（投标人名称）法定代表人</w:t>
      </w:r>
      <w:r>
        <w:rPr>
          <w:rFonts w:ascii="宋体" w:hAnsi="宋体" w:eastAsia="宋体" w:cs="宋体"/>
          <w:sz w:val="24"/>
          <w:szCs w:val="24"/>
          <w:u w:val="single"/>
        </w:rPr>
        <w:t xml:space="preserve">           </w:t>
      </w:r>
      <w:r>
        <w:rPr>
          <w:rFonts w:hint="eastAsia" w:ascii="宋体" w:hAnsi="宋体" w:eastAsia="宋体" w:cs="宋体"/>
          <w:sz w:val="24"/>
          <w:szCs w:val="24"/>
        </w:rPr>
        <w:t>授权我公司</w:t>
      </w:r>
      <w:r>
        <w:rPr>
          <w:rFonts w:ascii="宋体" w:hAnsi="宋体" w:eastAsia="宋体" w:cs="宋体"/>
          <w:sz w:val="24"/>
          <w:szCs w:val="24"/>
          <w:u w:val="single"/>
        </w:rPr>
        <w:t xml:space="preserve">               </w:t>
      </w:r>
      <w:r>
        <w:rPr>
          <w:rFonts w:hint="eastAsia" w:ascii="宋体" w:hAnsi="宋体" w:eastAsia="宋体" w:cs="宋体"/>
          <w:sz w:val="24"/>
          <w:szCs w:val="24"/>
        </w:rPr>
        <w:t>（职务或职称）</w:t>
      </w:r>
      <w:r>
        <w:rPr>
          <w:rFonts w:ascii="宋体" w:hAnsi="宋体" w:eastAsia="宋体" w:cs="宋体"/>
          <w:sz w:val="24"/>
          <w:szCs w:val="24"/>
          <w:u w:val="single"/>
        </w:rPr>
        <w:t xml:space="preserve">            </w:t>
      </w:r>
      <w:r>
        <w:rPr>
          <w:rFonts w:hint="eastAsia" w:ascii="宋体" w:hAnsi="宋体" w:eastAsia="宋体" w:cs="宋体"/>
          <w:sz w:val="24"/>
          <w:szCs w:val="24"/>
        </w:rPr>
        <w:t>（姓名）为我单位本次投标授权代理人，全权处理此次招标项目（项目编号：</w:t>
      </w:r>
      <w:r>
        <w:rPr>
          <w:rFonts w:ascii="宋体" w:hAnsi="宋体" w:eastAsia="宋体" w:cs="宋体"/>
          <w:sz w:val="24"/>
          <w:szCs w:val="24"/>
          <w:u w:val="single"/>
        </w:rPr>
        <w:t xml:space="preserve"> </w:t>
      </w:r>
      <w:r>
        <w:rPr>
          <w:rFonts w:hint="eastAsia" w:ascii="宋体" w:hAnsi="宋体" w:eastAsia="宋体" w:cs="宋体"/>
          <w:sz w:val="24"/>
          <w:szCs w:val="24"/>
          <w:u w:val="single"/>
        </w:rPr>
        <w:t xml:space="preserve"> CGZX2024090056 </w:t>
      </w:r>
      <w:r>
        <w:rPr>
          <w:rFonts w:ascii="宋体" w:hAnsi="宋体" w:eastAsia="宋体" w:cs="宋体"/>
          <w:sz w:val="24"/>
          <w:szCs w:val="24"/>
          <w:u w:val="single"/>
        </w:rPr>
        <w:t xml:space="preserve"> </w:t>
      </w:r>
      <w:r>
        <w:rPr>
          <w:rFonts w:hint="eastAsia" w:ascii="宋体" w:hAnsi="宋体" w:eastAsia="宋体" w:cs="宋体"/>
          <w:sz w:val="24"/>
          <w:szCs w:val="24"/>
        </w:rPr>
        <w:t>）投标活动的一切事宜。</w:t>
      </w:r>
    </w:p>
    <w:p w14:paraId="733C7B6E">
      <w:pPr>
        <w:adjustRightInd w:val="0"/>
        <w:snapToGrid w:val="0"/>
        <w:spacing w:before="93" w:beforeLines="30" w:line="360" w:lineRule="auto"/>
        <w:ind w:firstLine="480" w:firstLineChars="200"/>
        <w:rPr>
          <w:rFonts w:ascii="宋体" w:hAnsi="宋体"/>
          <w:sz w:val="24"/>
        </w:rPr>
      </w:pPr>
      <w:r>
        <w:rPr>
          <w:rFonts w:hint="eastAsia" w:ascii="宋体" w:hAnsi="宋体"/>
          <w:sz w:val="24"/>
        </w:rPr>
        <w:t>委托期限：</w:t>
      </w:r>
      <w:r>
        <w:rPr>
          <w:rFonts w:hint="eastAsia" w:ascii="宋体" w:hAnsi="宋体"/>
          <w:sz w:val="24"/>
          <w:u w:val="single"/>
        </w:rPr>
        <w:t xml:space="preserve">                       </w:t>
      </w:r>
      <w:r>
        <w:rPr>
          <w:rFonts w:hint="eastAsia" w:ascii="宋体" w:hAnsi="宋体"/>
          <w:sz w:val="24"/>
        </w:rPr>
        <w:t xml:space="preserve">    </w:t>
      </w:r>
    </w:p>
    <w:p w14:paraId="74A4D17E">
      <w:pPr>
        <w:adjustRightInd w:val="0"/>
        <w:snapToGrid w:val="0"/>
        <w:spacing w:before="93" w:beforeLines="30" w:line="312" w:lineRule="auto"/>
        <w:ind w:firstLine="480" w:firstLineChars="200"/>
        <w:rPr>
          <w:rFonts w:ascii="宋体" w:hAnsi="宋体"/>
          <w:sz w:val="24"/>
        </w:rPr>
      </w:pPr>
      <w:r>
        <w:rPr>
          <w:rFonts w:hint="eastAsia" w:ascii="宋体" w:hAnsi="宋体"/>
          <w:sz w:val="24"/>
        </w:rPr>
        <w:t>全权代表无转委权。特此委托。</w:t>
      </w:r>
      <w:r>
        <w:rPr>
          <w:rFonts w:hint="eastAsia" w:ascii="宋体" w:hAnsi="宋体"/>
        </w:rPr>
        <mc:AlternateContent>
          <mc:Choice Requires="wps">
            <w:drawing>
              <wp:anchor distT="0" distB="0" distL="114300" distR="114300" simplePos="0" relativeHeight="251659264" behindDoc="0" locked="0" layoutInCell="1" allowOverlap="1">
                <wp:simplePos x="0" y="0"/>
                <wp:positionH relativeFrom="column">
                  <wp:posOffset>323215</wp:posOffset>
                </wp:positionH>
                <wp:positionV relativeFrom="paragraph">
                  <wp:posOffset>245745</wp:posOffset>
                </wp:positionV>
                <wp:extent cx="2657475" cy="1552575"/>
                <wp:effectExtent l="4445" t="4445" r="5080" b="5080"/>
                <wp:wrapNone/>
                <wp:docPr id="4" name="矩形 4"/>
                <wp:cNvGraphicFramePr/>
                <a:graphic xmlns:a="http://schemas.openxmlformats.org/drawingml/2006/main">
                  <a:graphicData uri="http://schemas.microsoft.com/office/word/2010/wordprocessingShape">
                    <wps:wsp>
                      <wps:cNvSpPr>
                        <a:spLocks noChangeArrowheads="1"/>
                      </wps:cNvSpPr>
                      <wps:spPr bwMode="auto">
                        <a:xfrm>
                          <a:off x="0" y="0"/>
                          <a:ext cx="2657475" cy="1552575"/>
                        </a:xfrm>
                        <a:prstGeom prst="rect">
                          <a:avLst/>
                        </a:prstGeom>
                        <a:solidFill>
                          <a:srgbClr val="FFFFFF"/>
                        </a:solidFill>
                        <a:ln w="9525">
                          <a:solidFill>
                            <a:srgbClr val="000000"/>
                          </a:solidFill>
                          <a:miter lim="800000"/>
                        </a:ln>
                      </wps:spPr>
                      <wps:txbx>
                        <w:txbxContent>
                          <w:p w14:paraId="7F04E061">
                            <w:pPr>
                              <w:jc w:val="center"/>
                            </w:pPr>
                          </w:p>
                          <w:p w14:paraId="69AF0C21">
                            <w:pPr>
                              <w:jc w:val="center"/>
                            </w:pPr>
                          </w:p>
                          <w:p w14:paraId="69E96AF8">
                            <w:pPr>
                              <w:jc w:val="center"/>
                            </w:pPr>
                          </w:p>
                          <w:p w14:paraId="73EB26A6">
                            <w:pPr>
                              <w:jc w:val="center"/>
                            </w:pPr>
                            <w:r>
                              <w:rPr>
                                <w:rFonts w:hint="eastAsia"/>
                              </w:rPr>
                              <w:t>法定代表人身份证复印件（正面）</w:t>
                            </w:r>
                          </w:p>
                          <w:p w14:paraId="348F7116">
                            <w:pPr>
                              <w:jc w:val="center"/>
                            </w:pPr>
                          </w:p>
                          <w:p w14:paraId="3FD49885">
                            <w:pPr>
                              <w:jc w:val="center"/>
                            </w:pPr>
                          </w:p>
                        </w:txbxContent>
                      </wps:txbx>
                      <wps:bodyPr rot="0" vert="horz" wrap="square" lIns="91440" tIns="45720" rIns="91440" bIns="45720" anchor="t" anchorCtr="0" upright="1">
                        <a:noAutofit/>
                      </wps:bodyPr>
                    </wps:wsp>
                  </a:graphicData>
                </a:graphic>
              </wp:anchor>
            </w:drawing>
          </mc:Choice>
          <mc:Fallback>
            <w:pict>
              <v:rect id="_x0000_s1026" o:spid="_x0000_s1026" o:spt="1" style="position:absolute;left:0pt;margin-left:25.45pt;margin-top:19.35pt;height:122.25pt;width:209.25pt;z-index:251659264;mso-width-relative:page;mso-height-relative:page;" fillcolor="#FFFFFF" filled="t" stroked="t" coordsize="21600,21600" o:gfxdata="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">
                <v:fill on="t" focussize="0,0"/>
                <v:stroke color="#000000" miterlimit="8" joinstyle="miter"/>
                <v:imagedata o:title=""/>
                <o:lock v:ext="edit" aspectratio="f"/>
                <v:textbox>
                  <w:txbxContent>
                    <w:p w14:paraId="7F04E061">
                      <w:pPr>
                        <w:jc w:val="center"/>
                      </w:pPr>
                    </w:p>
                    <w:p w14:paraId="69AF0C21">
                      <w:pPr>
                        <w:jc w:val="center"/>
                      </w:pPr>
                    </w:p>
                    <w:p w14:paraId="69E96AF8">
                      <w:pPr>
                        <w:jc w:val="center"/>
                      </w:pPr>
                    </w:p>
                    <w:p w14:paraId="73EB26A6">
                      <w:pPr>
                        <w:jc w:val="center"/>
                      </w:pPr>
                      <w:r>
                        <w:rPr>
                          <w:rFonts w:hint="eastAsia"/>
                        </w:rPr>
                        <w:t>法定代表人身份证复印件（正面）</w:t>
                      </w:r>
                    </w:p>
                    <w:p w14:paraId="348F7116">
                      <w:pPr>
                        <w:jc w:val="center"/>
                      </w:pPr>
                    </w:p>
                    <w:p w14:paraId="3FD49885">
                      <w:pPr>
                        <w:jc w:val="center"/>
                      </w:pPr>
                    </w:p>
                  </w:txbxContent>
                </v:textbox>
              </v:rect>
            </w:pict>
          </mc:Fallback>
        </mc:AlternateContent>
      </w:r>
      <w:r>
        <w:rPr>
          <w:rFonts w:hint="eastAsia" w:ascii="宋体" w:hAnsi="宋体"/>
        </w:rPr>
        <mc:AlternateContent>
          <mc:Choice Requires="wps">
            <w:drawing>
              <wp:anchor distT="0" distB="0" distL="114300" distR="114300" simplePos="0" relativeHeight="251661312" behindDoc="0" locked="0" layoutInCell="1" allowOverlap="1">
                <wp:simplePos x="0" y="0"/>
                <wp:positionH relativeFrom="column">
                  <wp:posOffset>323215</wp:posOffset>
                </wp:positionH>
                <wp:positionV relativeFrom="paragraph">
                  <wp:posOffset>1845945</wp:posOffset>
                </wp:positionV>
                <wp:extent cx="2657475" cy="1552575"/>
                <wp:effectExtent l="4445" t="4445" r="5080" b="5080"/>
                <wp:wrapNone/>
                <wp:docPr id="3" name="矩形 3"/>
                <wp:cNvGraphicFramePr/>
                <a:graphic xmlns:a="http://schemas.openxmlformats.org/drawingml/2006/main">
                  <a:graphicData uri="http://schemas.microsoft.com/office/word/2010/wordprocessingShape">
                    <wps:wsp>
                      <wps:cNvSpPr>
                        <a:spLocks noChangeArrowheads="1"/>
                      </wps:cNvSpPr>
                      <wps:spPr bwMode="auto">
                        <a:xfrm>
                          <a:off x="0" y="0"/>
                          <a:ext cx="2657475" cy="1552575"/>
                        </a:xfrm>
                        <a:prstGeom prst="rect">
                          <a:avLst/>
                        </a:prstGeom>
                        <a:solidFill>
                          <a:srgbClr val="FFFFFF"/>
                        </a:solidFill>
                        <a:ln w="9525">
                          <a:solidFill>
                            <a:srgbClr val="000000"/>
                          </a:solidFill>
                          <a:miter lim="800000"/>
                        </a:ln>
                      </wps:spPr>
                      <wps:txbx>
                        <w:txbxContent>
                          <w:p w14:paraId="369B2CC7">
                            <w:pPr>
                              <w:jc w:val="center"/>
                            </w:pPr>
                            <w:r>
                              <w:rPr>
                                <w:rFonts w:hint="eastAsia"/>
                              </w:rPr>
                              <w:t>授权代理人身份证复印件（正面）</w:t>
                            </w:r>
                          </w:p>
                        </w:txbxContent>
                      </wps:txbx>
                      <wps:bodyPr rot="0" vert="horz" wrap="square" lIns="91440" tIns="45720" rIns="91440" bIns="45720" anchor="t" anchorCtr="0" upright="1">
                        <a:noAutofit/>
                      </wps:bodyPr>
                    </wps:wsp>
                  </a:graphicData>
                </a:graphic>
              </wp:anchor>
            </w:drawing>
          </mc:Choice>
          <mc:Fallback>
            <w:pict>
              <v:rect id="_x0000_s1026" o:spid="_x0000_s1026" o:spt="1" style="position:absolute;left:0pt;margin-left:25.45pt;margin-top:145.35pt;height:122.25pt;width:209.25pt;z-index:251661312;mso-width-relative:page;mso-height-relative:page;" fillcolor="#FFFFFF" filled="t" stroked="t" coordsize="21600,21600" o:gfxdata="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">
                <v:fill on="t" focussize="0,0"/>
                <v:stroke color="#000000" miterlimit="8" joinstyle="miter"/>
                <v:imagedata o:title=""/>
                <o:lock v:ext="edit" aspectratio="f"/>
                <v:textbox>
                  <w:txbxContent>
                    <w:p w14:paraId="369B2CC7">
                      <w:pPr>
                        <w:jc w:val="center"/>
                      </w:pPr>
                      <w:r>
                        <w:rPr>
                          <w:rFonts w:hint="eastAsia"/>
                        </w:rPr>
                        <w:t>授权代理人身份证复印件（正面）</w:t>
                      </w:r>
                    </w:p>
                  </w:txbxContent>
                </v:textbox>
              </v:rect>
            </w:pict>
          </mc:Fallback>
        </mc:AlternateContent>
      </w:r>
      <w:r>
        <w:rPr>
          <w:rFonts w:hint="eastAsia" w:ascii="宋体" w:hAnsi="宋体"/>
        </w:rPr>
        <mc:AlternateContent>
          <mc:Choice Requires="wps">
            <w:drawing>
              <wp:anchor distT="0" distB="0" distL="114300" distR="114300" simplePos="0" relativeHeight="251660288" behindDoc="0" locked="0" layoutInCell="1" allowOverlap="1">
                <wp:simplePos x="0" y="0"/>
                <wp:positionH relativeFrom="column">
                  <wp:posOffset>3123565</wp:posOffset>
                </wp:positionH>
                <wp:positionV relativeFrom="paragraph">
                  <wp:posOffset>245745</wp:posOffset>
                </wp:positionV>
                <wp:extent cx="2514600" cy="1552575"/>
                <wp:effectExtent l="4445" t="4445" r="8255" b="5080"/>
                <wp:wrapNone/>
                <wp:docPr id="2" name="矩形 2"/>
                <wp:cNvGraphicFramePr/>
                <a:graphic xmlns:a="http://schemas.openxmlformats.org/drawingml/2006/main">
                  <a:graphicData uri="http://schemas.microsoft.com/office/word/2010/wordprocessingShape">
                    <wps:wsp>
                      <wps:cNvSpPr>
                        <a:spLocks noChangeArrowheads="1"/>
                      </wps:cNvSpPr>
                      <wps:spPr bwMode="auto">
                        <a:xfrm>
                          <a:off x="0" y="0"/>
                          <a:ext cx="2514600" cy="1552575"/>
                        </a:xfrm>
                        <a:prstGeom prst="rect">
                          <a:avLst/>
                        </a:prstGeom>
                        <a:solidFill>
                          <a:srgbClr val="FFFFFF"/>
                        </a:solidFill>
                        <a:ln w="9525">
                          <a:solidFill>
                            <a:srgbClr val="000000"/>
                          </a:solidFill>
                          <a:miter lim="800000"/>
                        </a:ln>
                      </wps:spPr>
                      <wps:txbx>
                        <w:txbxContent>
                          <w:p w14:paraId="56A6B0DE">
                            <w:pPr>
                              <w:jc w:val="center"/>
                            </w:pPr>
                          </w:p>
                          <w:p w14:paraId="652A6C11">
                            <w:pPr>
                              <w:jc w:val="center"/>
                            </w:pPr>
                          </w:p>
                          <w:p w14:paraId="4F0B1F69">
                            <w:pPr>
                              <w:jc w:val="center"/>
                            </w:pPr>
                          </w:p>
                          <w:p w14:paraId="4A630130">
                            <w:pPr>
                              <w:jc w:val="center"/>
                            </w:pPr>
                            <w:r>
                              <w:rPr>
                                <w:rFonts w:hint="eastAsia"/>
                              </w:rPr>
                              <w:t>法定代表人身份证复印件（反面）</w:t>
                            </w:r>
                          </w:p>
                          <w:p w14:paraId="1A587928">
                            <w:pPr>
                              <w:jc w:val="center"/>
                            </w:pPr>
                          </w:p>
                        </w:txbxContent>
                      </wps:txbx>
                      <wps:bodyPr rot="0" vert="horz" wrap="square" lIns="91440" tIns="45720" rIns="91440" bIns="45720" anchor="t" anchorCtr="0" upright="1">
                        <a:noAutofit/>
                      </wps:bodyPr>
                    </wps:wsp>
                  </a:graphicData>
                </a:graphic>
              </wp:anchor>
            </w:drawing>
          </mc:Choice>
          <mc:Fallback>
            <w:pict>
              <v:rect id="_x0000_s1026" o:spid="_x0000_s1026" o:spt="1" style="position:absolute;left:0pt;margin-left:245.95pt;margin-top:19.35pt;height:122.25pt;width:198pt;z-index:251660288;mso-width-relative:page;mso-height-relative:page;" fillcolor="#FFFFFF" filled="t" stroked="t" coordsize="21600,21600" o:gfxdata="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">
                <v:fill on="t" focussize="0,0"/>
                <v:stroke color="#000000" miterlimit="8" joinstyle="miter"/>
                <v:imagedata o:title=""/>
                <o:lock v:ext="edit" aspectratio="f"/>
                <v:textbox>
                  <w:txbxContent>
                    <w:p w14:paraId="56A6B0DE">
                      <w:pPr>
                        <w:jc w:val="center"/>
                      </w:pPr>
                    </w:p>
                    <w:p w14:paraId="652A6C11">
                      <w:pPr>
                        <w:jc w:val="center"/>
                      </w:pPr>
                    </w:p>
                    <w:p w14:paraId="4F0B1F69">
                      <w:pPr>
                        <w:jc w:val="center"/>
                      </w:pPr>
                    </w:p>
                    <w:p w14:paraId="4A630130">
                      <w:pPr>
                        <w:jc w:val="center"/>
                      </w:pPr>
                      <w:r>
                        <w:rPr>
                          <w:rFonts w:hint="eastAsia"/>
                        </w:rPr>
                        <w:t>法定代表人身份证复印件（反面）</w:t>
                      </w:r>
                    </w:p>
                    <w:p w14:paraId="1A587928">
                      <w:pPr>
                        <w:jc w:val="center"/>
                      </w:pPr>
                    </w:p>
                  </w:txbxContent>
                </v:textbox>
              </v:rect>
            </w:pict>
          </mc:Fallback>
        </mc:AlternateContent>
      </w:r>
      <w:r>
        <w:rPr>
          <w:rFonts w:hint="eastAsia" w:ascii="宋体" w:hAnsi="宋体"/>
        </w:rPr>
        <mc:AlternateContent>
          <mc:Choice Requires="wps">
            <w:drawing>
              <wp:anchor distT="0" distB="0" distL="114300" distR="114300" simplePos="0" relativeHeight="251662336" behindDoc="0" locked="0" layoutInCell="1" allowOverlap="1">
                <wp:simplePos x="0" y="0"/>
                <wp:positionH relativeFrom="column">
                  <wp:posOffset>3123565</wp:posOffset>
                </wp:positionH>
                <wp:positionV relativeFrom="paragraph">
                  <wp:posOffset>1836420</wp:posOffset>
                </wp:positionV>
                <wp:extent cx="2514600" cy="1552575"/>
                <wp:effectExtent l="4445" t="4445" r="8255" b="5080"/>
                <wp:wrapNone/>
                <wp:docPr id="1" name="矩形 1"/>
                <wp:cNvGraphicFramePr/>
                <a:graphic xmlns:a="http://schemas.openxmlformats.org/drawingml/2006/main">
                  <a:graphicData uri="http://schemas.microsoft.com/office/word/2010/wordprocessingShape">
                    <wps:wsp>
                      <wps:cNvSpPr>
                        <a:spLocks noChangeArrowheads="1"/>
                      </wps:cNvSpPr>
                      <wps:spPr bwMode="auto">
                        <a:xfrm>
                          <a:off x="0" y="0"/>
                          <a:ext cx="2514600" cy="1552575"/>
                        </a:xfrm>
                        <a:prstGeom prst="rect">
                          <a:avLst/>
                        </a:prstGeom>
                        <a:solidFill>
                          <a:srgbClr val="FFFFFF"/>
                        </a:solidFill>
                        <a:ln w="9525">
                          <a:solidFill>
                            <a:srgbClr val="000000"/>
                          </a:solidFill>
                          <a:miter lim="800000"/>
                        </a:ln>
                      </wps:spPr>
                      <wps:txbx>
                        <w:txbxContent>
                          <w:p w14:paraId="5A31D9E9">
                            <w:pPr>
                              <w:jc w:val="center"/>
                            </w:pPr>
                            <w:r>
                              <w:rPr>
                                <w:rFonts w:hint="eastAsia"/>
                              </w:rPr>
                              <w:t>授权代理人身份证复印件（反面）</w:t>
                            </w:r>
                          </w:p>
                        </w:txbxContent>
                      </wps:txbx>
                      <wps:bodyPr rot="0" vert="horz" wrap="square" lIns="91440" tIns="45720" rIns="91440" bIns="45720" anchor="t" anchorCtr="0" upright="1">
                        <a:noAutofit/>
                      </wps:bodyPr>
                    </wps:wsp>
                  </a:graphicData>
                </a:graphic>
              </wp:anchor>
            </w:drawing>
          </mc:Choice>
          <mc:Fallback>
            <w:pict>
              <v:rect id="_x0000_s1026" o:spid="_x0000_s1026" o:spt="1" style="position:absolute;left:0pt;margin-left:245.95pt;margin-top:144.6pt;height:122.25pt;width:198pt;z-index:251662336;mso-width-relative:page;mso-height-relative:page;" fillcolor="#FFFFFF" filled="t" stroked="t" coordsize="21600,21600" o:gfxdata="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">
                <v:fill on="t" focussize="0,0"/>
                <v:stroke color="#000000" miterlimit="8" joinstyle="miter"/>
                <v:imagedata o:title=""/>
                <o:lock v:ext="edit" aspectratio="f"/>
                <v:textbox>
                  <w:txbxContent>
                    <w:p w14:paraId="5A31D9E9">
                      <w:pPr>
                        <w:jc w:val="center"/>
                      </w:pPr>
                      <w:r>
                        <w:rPr>
                          <w:rFonts w:hint="eastAsia"/>
                        </w:rPr>
                        <w:t>授权代理人身份证复印件（反面）</w:t>
                      </w:r>
                    </w:p>
                  </w:txbxContent>
                </v:textbox>
              </v:rect>
            </w:pict>
          </mc:Fallback>
        </mc:AlternateContent>
      </w:r>
    </w:p>
    <w:p w14:paraId="17B9E597">
      <w:pPr>
        <w:spacing w:line="480" w:lineRule="exact"/>
        <w:ind w:firstLine="480" w:firstLineChars="200"/>
        <w:rPr>
          <w:rFonts w:ascii="宋体" w:hAnsi="宋体"/>
          <w:sz w:val="24"/>
        </w:rPr>
      </w:pPr>
    </w:p>
    <w:p w14:paraId="0A1F0600">
      <w:pPr>
        <w:spacing w:line="480" w:lineRule="exact"/>
        <w:ind w:firstLine="480" w:firstLineChars="200"/>
        <w:rPr>
          <w:rFonts w:ascii="宋体" w:hAnsi="宋体"/>
          <w:sz w:val="24"/>
        </w:rPr>
      </w:pPr>
    </w:p>
    <w:p w14:paraId="11CC692F">
      <w:pPr>
        <w:spacing w:line="480" w:lineRule="exact"/>
        <w:ind w:firstLine="480" w:firstLineChars="200"/>
        <w:rPr>
          <w:rFonts w:ascii="宋体" w:hAnsi="宋体"/>
          <w:sz w:val="24"/>
        </w:rPr>
      </w:pPr>
    </w:p>
    <w:p w14:paraId="48B3FBB2">
      <w:pPr>
        <w:spacing w:line="480" w:lineRule="exact"/>
        <w:ind w:firstLine="480" w:firstLineChars="200"/>
        <w:rPr>
          <w:rFonts w:ascii="宋体" w:hAnsi="宋体"/>
          <w:sz w:val="24"/>
        </w:rPr>
      </w:pPr>
    </w:p>
    <w:p w14:paraId="408FF241">
      <w:pPr>
        <w:spacing w:line="480" w:lineRule="exact"/>
        <w:ind w:firstLine="480" w:firstLineChars="200"/>
        <w:rPr>
          <w:rFonts w:ascii="宋体" w:hAnsi="宋体"/>
          <w:sz w:val="24"/>
        </w:rPr>
      </w:pPr>
    </w:p>
    <w:p w14:paraId="33A082F5">
      <w:pPr>
        <w:spacing w:line="480" w:lineRule="exact"/>
        <w:ind w:firstLine="480" w:firstLineChars="200"/>
        <w:rPr>
          <w:rFonts w:ascii="宋体" w:hAnsi="宋体"/>
          <w:sz w:val="24"/>
        </w:rPr>
      </w:pPr>
    </w:p>
    <w:p w14:paraId="24C47F7D">
      <w:pPr>
        <w:spacing w:line="480" w:lineRule="exact"/>
        <w:ind w:firstLine="480" w:firstLineChars="200"/>
        <w:rPr>
          <w:rFonts w:ascii="宋体" w:hAnsi="宋体"/>
          <w:sz w:val="24"/>
        </w:rPr>
      </w:pPr>
    </w:p>
    <w:p w14:paraId="2D575E55">
      <w:pPr>
        <w:spacing w:line="480" w:lineRule="exact"/>
        <w:ind w:firstLine="480" w:firstLineChars="200"/>
        <w:rPr>
          <w:rFonts w:ascii="宋体" w:hAnsi="宋体"/>
          <w:sz w:val="24"/>
        </w:rPr>
      </w:pPr>
    </w:p>
    <w:p w14:paraId="55189376">
      <w:pPr>
        <w:spacing w:line="480" w:lineRule="exact"/>
        <w:ind w:firstLine="480" w:firstLineChars="200"/>
        <w:rPr>
          <w:rFonts w:ascii="宋体" w:hAnsi="宋体"/>
          <w:sz w:val="24"/>
        </w:rPr>
      </w:pPr>
    </w:p>
    <w:p w14:paraId="13536D29">
      <w:pPr>
        <w:spacing w:line="480" w:lineRule="exact"/>
        <w:rPr>
          <w:rFonts w:ascii="宋体" w:hAnsi="宋体"/>
          <w:sz w:val="24"/>
        </w:rPr>
      </w:pPr>
    </w:p>
    <w:p w14:paraId="7CD79A76">
      <w:pPr>
        <w:pStyle w:val="7"/>
        <w:spacing w:line="560" w:lineRule="exact"/>
        <w:rPr>
          <w:rFonts w:ascii="宋体" w:hAnsi="宋体" w:eastAsia="宋体"/>
          <w:sz w:val="24"/>
          <w:szCs w:val="24"/>
        </w:rPr>
      </w:pPr>
      <w:r>
        <w:rPr>
          <w:rFonts w:hint="eastAsia" w:ascii="宋体" w:hAnsi="宋体" w:eastAsia="宋体" w:cs="宋体"/>
          <w:sz w:val="24"/>
          <w:szCs w:val="24"/>
        </w:rPr>
        <w:t>单位名称（公章）：</w:t>
      </w:r>
      <w:r>
        <w:rPr>
          <w:rFonts w:ascii="宋体" w:hAnsi="宋体" w:eastAsia="宋体" w:cs="宋体"/>
          <w:sz w:val="24"/>
          <w:szCs w:val="24"/>
          <w:u w:val="single"/>
        </w:rPr>
        <w:t xml:space="preserve">                 </w:t>
      </w:r>
    </w:p>
    <w:p w14:paraId="6AB883F5">
      <w:pPr>
        <w:pStyle w:val="7"/>
        <w:spacing w:line="560" w:lineRule="exact"/>
        <w:rPr>
          <w:rFonts w:ascii="宋体" w:hAnsi="宋体" w:eastAsia="宋体"/>
          <w:sz w:val="24"/>
          <w:szCs w:val="24"/>
        </w:rPr>
      </w:pPr>
      <w:r>
        <w:rPr>
          <w:rFonts w:hint="eastAsia" w:ascii="宋体" w:hAnsi="宋体" w:eastAsia="宋体" w:cs="宋体"/>
          <w:sz w:val="24"/>
          <w:szCs w:val="24"/>
        </w:rPr>
        <w:t>法定代表人签字：</w:t>
      </w:r>
      <w:r>
        <w:rPr>
          <w:rFonts w:ascii="宋体" w:hAnsi="宋体" w:eastAsia="宋体" w:cs="宋体"/>
          <w:sz w:val="24"/>
          <w:szCs w:val="24"/>
          <w:u w:val="single"/>
        </w:rPr>
        <w:t xml:space="preserve">                  </w:t>
      </w:r>
    </w:p>
    <w:p w14:paraId="021BA95B">
      <w:pPr>
        <w:pStyle w:val="7"/>
        <w:spacing w:line="560" w:lineRule="exact"/>
        <w:rPr>
          <w:rFonts w:ascii="宋体" w:hAnsi="宋体" w:eastAsia="宋体"/>
          <w:sz w:val="24"/>
          <w:szCs w:val="24"/>
        </w:rPr>
      </w:pPr>
      <w:r>
        <w:rPr>
          <w:rFonts w:hint="eastAsia" w:ascii="宋体" w:hAnsi="宋体" w:eastAsia="宋体" w:cs="宋体"/>
          <w:sz w:val="24"/>
          <w:szCs w:val="24"/>
        </w:rPr>
        <w:t>授权代理人签字：</w:t>
      </w:r>
      <w:r>
        <w:rPr>
          <w:rFonts w:ascii="宋体" w:hAnsi="宋体" w:eastAsia="宋体" w:cs="宋体"/>
          <w:sz w:val="24"/>
          <w:szCs w:val="24"/>
          <w:u w:val="single"/>
        </w:rPr>
        <w:t xml:space="preserve">                  </w:t>
      </w:r>
    </w:p>
    <w:p w14:paraId="2CF30A7B">
      <w:pPr>
        <w:pStyle w:val="7"/>
        <w:spacing w:line="560" w:lineRule="exact"/>
        <w:ind w:left="5880" w:right="283" w:rightChars="135" w:firstLine="420"/>
        <w:jc w:val="right"/>
        <w:rPr>
          <w:rFonts w:ascii="宋体" w:hAnsi="宋体" w:eastAsia="宋体"/>
          <w:sz w:val="24"/>
        </w:rPr>
      </w:pPr>
      <w:r>
        <w:rPr>
          <w:rFonts w:ascii="宋体" w:hAnsi="宋体" w:eastAsia="宋体"/>
          <w:sz w:val="24"/>
        </w:rPr>
        <w:t xml:space="preserve">    </w:t>
      </w:r>
      <w:r>
        <w:rPr>
          <w:rFonts w:hint="eastAsia" w:ascii="宋体" w:hAnsi="宋体" w:eastAsia="宋体"/>
          <w:sz w:val="24"/>
        </w:rPr>
        <w:t>年</w:t>
      </w:r>
      <w:r>
        <w:rPr>
          <w:rFonts w:ascii="宋体" w:hAnsi="宋体" w:eastAsia="宋体"/>
          <w:sz w:val="24"/>
        </w:rPr>
        <w:t xml:space="preserve">  </w:t>
      </w:r>
      <w:r>
        <w:rPr>
          <w:rFonts w:hint="eastAsia" w:ascii="宋体" w:hAnsi="宋体" w:eastAsia="宋体"/>
          <w:sz w:val="24"/>
        </w:rPr>
        <w:t>月</w:t>
      </w:r>
      <w:r>
        <w:rPr>
          <w:rFonts w:ascii="宋体" w:hAnsi="宋体" w:eastAsia="宋体"/>
          <w:sz w:val="24"/>
        </w:rPr>
        <w:t xml:space="preserve">  </w:t>
      </w:r>
      <w:r>
        <w:rPr>
          <w:rFonts w:hint="eastAsia" w:ascii="宋体" w:hAnsi="宋体" w:eastAsia="宋体"/>
          <w:sz w:val="24"/>
        </w:rPr>
        <w:t>日</w:t>
      </w:r>
    </w:p>
    <w:p w14:paraId="351787FA">
      <w:pPr>
        <w:spacing w:after="156" w:afterLines="50"/>
        <w:jc w:val="left"/>
        <w:rPr>
          <w:rFonts w:ascii="仿宋_GB2312" w:hAnsi="Calibri" w:eastAsia="仿宋_GB2312"/>
          <w:sz w:val="32"/>
          <w:szCs w:val="32"/>
        </w:rPr>
      </w:pPr>
      <w:bookmarkStart w:id="14" w:name="_Toc16307"/>
    </w:p>
    <w:p w14:paraId="78386F8C">
      <w:pPr>
        <w:spacing w:after="156" w:afterLines="50"/>
        <w:jc w:val="left"/>
        <w:rPr>
          <w:rFonts w:ascii="仿宋_GB2312" w:hAnsi="Calibri" w:eastAsia="仿宋_GB2312"/>
          <w:sz w:val="32"/>
          <w:szCs w:val="32"/>
        </w:rPr>
      </w:pPr>
    </w:p>
    <w:p w14:paraId="38D9B29D">
      <w:pPr>
        <w:rPr>
          <w:rFonts w:ascii="宋体" w:hAnsi="宋体" w:cs="宋体"/>
          <w:sz w:val="24"/>
          <w:szCs w:val="24"/>
        </w:rPr>
      </w:pPr>
      <w:bookmarkStart w:id="15" w:name="_Toc12670"/>
    </w:p>
    <w:p w14:paraId="1977B75A">
      <w:pPr>
        <w:rPr>
          <w:rFonts w:ascii="宋体" w:hAnsi="宋体" w:cs="宋体"/>
          <w:sz w:val="24"/>
          <w:szCs w:val="24"/>
        </w:rPr>
      </w:pPr>
    </w:p>
    <w:p w14:paraId="0B63A484">
      <w:pPr>
        <w:rPr>
          <w:rFonts w:ascii="宋体" w:hAnsi="宋体" w:cs="宋体"/>
          <w:sz w:val="24"/>
          <w:szCs w:val="24"/>
        </w:rPr>
      </w:pPr>
      <w:r>
        <w:rPr>
          <w:rFonts w:hint="eastAsia" w:ascii="宋体" w:hAnsi="宋体" w:cs="宋体"/>
          <w:sz w:val="24"/>
          <w:szCs w:val="24"/>
        </w:rPr>
        <w:t>附件2</w:t>
      </w:r>
      <w:bookmarkEnd w:id="14"/>
      <w:bookmarkEnd w:id="15"/>
    </w:p>
    <w:p w14:paraId="6E947AE5">
      <w:pPr>
        <w:pStyle w:val="7"/>
        <w:spacing w:line="560" w:lineRule="exact"/>
        <w:ind w:right="283" w:rightChars="135"/>
        <w:jc w:val="center"/>
        <w:rPr>
          <w:rFonts w:ascii="宋体" w:hAnsi="宋体" w:eastAsia="宋体" w:cs="宋体"/>
          <w:sz w:val="36"/>
          <w:szCs w:val="36"/>
        </w:rPr>
      </w:pPr>
      <w:r>
        <w:rPr>
          <w:rFonts w:hint="eastAsia" w:ascii="宋体" w:hAnsi="宋体" w:eastAsia="宋体" w:cs="宋体"/>
          <w:b/>
          <w:bCs/>
          <w:sz w:val="36"/>
          <w:szCs w:val="36"/>
        </w:rPr>
        <w:t>投标人基本情况表</w:t>
      </w:r>
    </w:p>
    <w:tbl>
      <w:tblPr>
        <w:tblStyle w:val="18"/>
        <w:tblW w:w="901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70"/>
        <w:gridCol w:w="1101"/>
        <w:gridCol w:w="963"/>
        <w:gridCol w:w="1102"/>
        <w:gridCol w:w="1652"/>
        <w:gridCol w:w="2031"/>
      </w:tblGrid>
      <w:tr w14:paraId="2ADF2F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2170" w:type="dxa"/>
            <w:vAlign w:val="center"/>
          </w:tcPr>
          <w:p w14:paraId="3094161C">
            <w:pPr>
              <w:spacing w:line="276" w:lineRule="auto"/>
              <w:jc w:val="center"/>
              <w:rPr>
                <w:rFonts w:ascii="宋体" w:hAnsi="宋体" w:cs="Calibri"/>
                <w:sz w:val="24"/>
              </w:rPr>
            </w:pPr>
            <w:r>
              <w:rPr>
                <w:rFonts w:ascii="宋体" w:hAnsi="宋体" w:cs="Calibri"/>
                <w:sz w:val="24"/>
              </w:rPr>
              <w:t>投标人名称</w:t>
            </w:r>
          </w:p>
        </w:tc>
        <w:tc>
          <w:tcPr>
            <w:tcW w:w="6849" w:type="dxa"/>
            <w:gridSpan w:val="5"/>
            <w:vAlign w:val="center"/>
          </w:tcPr>
          <w:p w14:paraId="121CD4A8">
            <w:pPr>
              <w:spacing w:line="276" w:lineRule="auto"/>
              <w:jc w:val="center"/>
              <w:rPr>
                <w:rFonts w:ascii="宋体" w:hAnsi="宋体" w:cs="Calibri"/>
                <w:sz w:val="24"/>
              </w:rPr>
            </w:pPr>
          </w:p>
        </w:tc>
      </w:tr>
      <w:tr w14:paraId="082BD8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2170" w:type="dxa"/>
            <w:vAlign w:val="center"/>
          </w:tcPr>
          <w:p w14:paraId="5EE94B6B">
            <w:pPr>
              <w:spacing w:line="276" w:lineRule="auto"/>
              <w:jc w:val="center"/>
              <w:rPr>
                <w:rFonts w:ascii="宋体" w:hAnsi="宋体" w:cs="Calibri"/>
                <w:sz w:val="24"/>
              </w:rPr>
            </w:pPr>
            <w:r>
              <w:rPr>
                <w:rFonts w:ascii="宋体" w:hAnsi="宋体" w:cs="Calibri"/>
                <w:sz w:val="24"/>
              </w:rPr>
              <w:t>注册地址</w:t>
            </w:r>
          </w:p>
        </w:tc>
        <w:tc>
          <w:tcPr>
            <w:tcW w:w="3166" w:type="dxa"/>
            <w:gridSpan w:val="3"/>
            <w:vAlign w:val="center"/>
          </w:tcPr>
          <w:p w14:paraId="144B0CD2">
            <w:pPr>
              <w:spacing w:line="276" w:lineRule="auto"/>
              <w:jc w:val="center"/>
              <w:rPr>
                <w:rFonts w:ascii="宋体" w:hAnsi="宋体" w:cs="Calibri"/>
                <w:sz w:val="24"/>
              </w:rPr>
            </w:pPr>
          </w:p>
        </w:tc>
        <w:tc>
          <w:tcPr>
            <w:tcW w:w="1652" w:type="dxa"/>
            <w:vAlign w:val="center"/>
          </w:tcPr>
          <w:p w14:paraId="7E44D218">
            <w:pPr>
              <w:spacing w:line="276" w:lineRule="auto"/>
              <w:jc w:val="center"/>
              <w:rPr>
                <w:rFonts w:ascii="宋体" w:hAnsi="宋体" w:cs="Calibri"/>
                <w:sz w:val="24"/>
              </w:rPr>
            </w:pPr>
            <w:r>
              <w:rPr>
                <w:rFonts w:ascii="宋体" w:hAnsi="宋体" w:cs="Calibri"/>
                <w:sz w:val="24"/>
              </w:rPr>
              <w:t>邮政编码</w:t>
            </w:r>
          </w:p>
        </w:tc>
        <w:tc>
          <w:tcPr>
            <w:tcW w:w="2031" w:type="dxa"/>
            <w:vAlign w:val="center"/>
          </w:tcPr>
          <w:p w14:paraId="7482526B">
            <w:pPr>
              <w:spacing w:line="276" w:lineRule="auto"/>
              <w:jc w:val="center"/>
              <w:rPr>
                <w:rFonts w:ascii="宋体" w:hAnsi="宋体" w:cs="Calibri"/>
                <w:sz w:val="24"/>
              </w:rPr>
            </w:pPr>
          </w:p>
        </w:tc>
      </w:tr>
      <w:tr w14:paraId="6E45CA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2170" w:type="dxa"/>
            <w:vMerge w:val="restart"/>
            <w:vAlign w:val="center"/>
          </w:tcPr>
          <w:p w14:paraId="4EA288EF">
            <w:pPr>
              <w:spacing w:line="276" w:lineRule="auto"/>
              <w:jc w:val="center"/>
              <w:rPr>
                <w:rFonts w:ascii="宋体" w:hAnsi="宋体" w:cs="Calibri"/>
                <w:sz w:val="24"/>
              </w:rPr>
            </w:pPr>
            <w:r>
              <w:rPr>
                <w:rFonts w:ascii="宋体" w:hAnsi="宋体" w:cs="Calibri"/>
                <w:sz w:val="24"/>
              </w:rPr>
              <w:t>联系方式</w:t>
            </w:r>
          </w:p>
        </w:tc>
        <w:tc>
          <w:tcPr>
            <w:tcW w:w="1101" w:type="dxa"/>
            <w:vAlign w:val="center"/>
          </w:tcPr>
          <w:p w14:paraId="59EA5999">
            <w:pPr>
              <w:spacing w:line="276" w:lineRule="auto"/>
              <w:jc w:val="center"/>
              <w:rPr>
                <w:rFonts w:ascii="宋体" w:hAnsi="宋体" w:cs="Calibri"/>
                <w:sz w:val="24"/>
              </w:rPr>
            </w:pPr>
            <w:r>
              <w:rPr>
                <w:rFonts w:ascii="宋体" w:hAnsi="宋体" w:cs="Calibri"/>
                <w:sz w:val="24"/>
              </w:rPr>
              <w:t>联系人</w:t>
            </w:r>
          </w:p>
        </w:tc>
        <w:tc>
          <w:tcPr>
            <w:tcW w:w="2065" w:type="dxa"/>
            <w:gridSpan w:val="2"/>
            <w:vAlign w:val="center"/>
          </w:tcPr>
          <w:p w14:paraId="028750BD">
            <w:pPr>
              <w:spacing w:line="276" w:lineRule="auto"/>
              <w:jc w:val="center"/>
              <w:rPr>
                <w:rFonts w:ascii="宋体" w:hAnsi="宋体" w:cs="Calibri"/>
                <w:sz w:val="24"/>
              </w:rPr>
            </w:pPr>
          </w:p>
        </w:tc>
        <w:tc>
          <w:tcPr>
            <w:tcW w:w="1652" w:type="dxa"/>
            <w:vAlign w:val="center"/>
          </w:tcPr>
          <w:p w14:paraId="5E042EBF">
            <w:pPr>
              <w:spacing w:line="276" w:lineRule="auto"/>
              <w:jc w:val="center"/>
              <w:rPr>
                <w:rFonts w:ascii="宋体" w:hAnsi="宋体" w:cs="Calibri"/>
                <w:sz w:val="24"/>
              </w:rPr>
            </w:pPr>
            <w:r>
              <w:rPr>
                <w:rFonts w:ascii="宋体" w:hAnsi="宋体" w:cs="Calibri"/>
                <w:sz w:val="24"/>
              </w:rPr>
              <w:t>电话</w:t>
            </w:r>
          </w:p>
        </w:tc>
        <w:tc>
          <w:tcPr>
            <w:tcW w:w="2031" w:type="dxa"/>
            <w:vAlign w:val="center"/>
          </w:tcPr>
          <w:p w14:paraId="3708AEE6">
            <w:pPr>
              <w:spacing w:line="276" w:lineRule="auto"/>
              <w:jc w:val="center"/>
              <w:rPr>
                <w:rFonts w:ascii="宋体" w:hAnsi="宋体" w:cs="Calibri"/>
                <w:sz w:val="24"/>
              </w:rPr>
            </w:pPr>
          </w:p>
        </w:tc>
      </w:tr>
      <w:tr w14:paraId="7A0BC2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2170" w:type="dxa"/>
            <w:vMerge w:val="continue"/>
            <w:vAlign w:val="center"/>
          </w:tcPr>
          <w:p w14:paraId="2E09050A">
            <w:pPr>
              <w:spacing w:line="276" w:lineRule="auto"/>
              <w:jc w:val="center"/>
              <w:rPr>
                <w:rFonts w:ascii="宋体" w:hAnsi="宋体" w:cs="Calibri"/>
                <w:sz w:val="24"/>
              </w:rPr>
            </w:pPr>
          </w:p>
        </w:tc>
        <w:tc>
          <w:tcPr>
            <w:tcW w:w="1101" w:type="dxa"/>
            <w:vAlign w:val="center"/>
          </w:tcPr>
          <w:p w14:paraId="197221E8">
            <w:pPr>
              <w:spacing w:line="276" w:lineRule="auto"/>
              <w:jc w:val="center"/>
              <w:rPr>
                <w:rFonts w:ascii="宋体" w:hAnsi="宋体" w:cs="Calibri"/>
                <w:sz w:val="24"/>
              </w:rPr>
            </w:pPr>
            <w:r>
              <w:rPr>
                <w:rFonts w:ascii="宋体" w:hAnsi="宋体" w:cs="Calibri"/>
                <w:sz w:val="24"/>
              </w:rPr>
              <w:t>传真</w:t>
            </w:r>
          </w:p>
        </w:tc>
        <w:tc>
          <w:tcPr>
            <w:tcW w:w="2065" w:type="dxa"/>
            <w:gridSpan w:val="2"/>
            <w:vAlign w:val="center"/>
          </w:tcPr>
          <w:p w14:paraId="5A0E73A5">
            <w:pPr>
              <w:spacing w:line="276" w:lineRule="auto"/>
              <w:jc w:val="center"/>
              <w:rPr>
                <w:rFonts w:ascii="宋体" w:hAnsi="宋体" w:cs="Calibri"/>
                <w:sz w:val="24"/>
              </w:rPr>
            </w:pPr>
          </w:p>
        </w:tc>
        <w:tc>
          <w:tcPr>
            <w:tcW w:w="1652" w:type="dxa"/>
            <w:vAlign w:val="center"/>
          </w:tcPr>
          <w:p w14:paraId="4B32D953">
            <w:pPr>
              <w:spacing w:line="276" w:lineRule="auto"/>
              <w:jc w:val="center"/>
              <w:rPr>
                <w:rFonts w:ascii="宋体" w:hAnsi="宋体" w:cs="Calibri"/>
                <w:sz w:val="24"/>
              </w:rPr>
            </w:pPr>
            <w:r>
              <w:rPr>
                <w:rFonts w:ascii="宋体" w:hAnsi="宋体" w:cs="Calibri"/>
                <w:sz w:val="24"/>
              </w:rPr>
              <w:t>网址</w:t>
            </w:r>
          </w:p>
        </w:tc>
        <w:tc>
          <w:tcPr>
            <w:tcW w:w="2031" w:type="dxa"/>
            <w:vAlign w:val="center"/>
          </w:tcPr>
          <w:p w14:paraId="3B9F6CE1">
            <w:pPr>
              <w:spacing w:line="276" w:lineRule="auto"/>
              <w:jc w:val="center"/>
              <w:rPr>
                <w:rFonts w:ascii="宋体" w:hAnsi="宋体" w:cs="Calibri"/>
                <w:sz w:val="24"/>
              </w:rPr>
            </w:pPr>
          </w:p>
        </w:tc>
      </w:tr>
      <w:tr w14:paraId="249165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2170" w:type="dxa"/>
            <w:vAlign w:val="center"/>
          </w:tcPr>
          <w:p w14:paraId="47F3D3D4">
            <w:pPr>
              <w:spacing w:line="276" w:lineRule="auto"/>
              <w:jc w:val="center"/>
              <w:rPr>
                <w:rFonts w:ascii="宋体" w:hAnsi="宋体" w:cs="Calibri"/>
                <w:sz w:val="24"/>
              </w:rPr>
            </w:pPr>
            <w:r>
              <w:rPr>
                <w:rFonts w:ascii="宋体" w:hAnsi="宋体" w:cs="Calibri"/>
                <w:sz w:val="24"/>
              </w:rPr>
              <w:t>法定代表人</w:t>
            </w:r>
          </w:p>
        </w:tc>
        <w:tc>
          <w:tcPr>
            <w:tcW w:w="1101" w:type="dxa"/>
            <w:vAlign w:val="center"/>
          </w:tcPr>
          <w:p w14:paraId="121661D2">
            <w:pPr>
              <w:spacing w:line="276" w:lineRule="auto"/>
              <w:jc w:val="center"/>
              <w:rPr>
                <w:rFonts w:ascii="宋体" w:hAnsi="宋体" w:cs="Calibri"/>
                <w:sz w:val="24"/>
              </w:rPr>
            </w:pPr>
            <w:r>
              <w:rPr>
                <w:rFonts w:ascii="宋体" w:hAnsi="宋体" w:cs="Calibri"/>
                <w:sz w:val="24"/>
              </w:rPr>
              <w:t>姓名</w:t>
            </w:r>
          </w:p>
        </w:tc>
        <w:tc>
          <w:tcPr>
            <w:tcW w:w="2065" w:type="dxa"/>
            <w:gridSpan w:val="2"/>
            <w:vAlign w:val="center"/>
          </w:tcPr>
          <w:p w14:paraId="7841B5C5">
            <w:pPr>
              <w:spacing w:line="276" w:lineRule="auto"/>
              <w:jc w:val="center"/>
              <w:rPr>
                <w:rFonts w:ascii="宋体" w:hAnsi="宋体" w:cs="Calibri"/>
                <w:sz w:val="24"/>
              </w:rPr>
            </w:pPr>
          </w:p>
        </w:tc>
        <w:tc>
          <w:tcPr>
            <w:tcW w:w="1652" w:type="dxa"/>
            <w:vAlign w:val="center"/>
          </w:tcPr>
          <w:p w14:paraId="27543A59">
            <w:pPr>
              <w:spacing w:line="276" w:lineRule="auto"/>
              <w:jc w:val="center"/>
              <w:rPr>
                <w:rFonts w:ascii="宋体" w:hAnsi="宋体" w:cs="Calibri"/>
                <w:sz w:val="24"/>
              </w:rPr>
            </w:pPr>
            <w:r>
              <w:rPr>
                <w:rFonts w:ascii="宋体" w:hAnsi="宋体" w:cs="Calibri"/>
                <w:sz w:val="24"/>
              </w:rPr>
              <w:t>职称</w:t>
            </w:r>
          </w:p>
        </w:tc>
        <w:tc>
          <w:tcPr>
            <w:tcW w:w="2031" w:type="dxa"/>
            <w:vAlign w:val="center"/>
          </w:tcPr>
          <w:p w14:paraId="426BF62C">
            <w:pPr>
              <w:spacing w:line="276" w:lineRule="auto"/>
              <w:jc w:val="center"/>
              <w:rPr>
                <w:rFonts w:ascii="宋体" w:hAnsi="宋体" w:cs="Calibri"/>
                <w:sz w:val="24"/>
              </w:rPr>
            </w:pPr>
          </w:p>
        </w:tc>
      </w:tr>
      <w:tr w14:paraId="4EB411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2170" w:type="dxa"/>
            <w:vAlign w:val="center"/>
          </w:tcPr>
          <w:p w14:paraId="31FFF139">
            <w:pPr>
              <w:spacing w:line="276" w:lineRule="auto"/>
              <w:jc w:val="center"/>
              <w:rPr>
                <w:rFonts w:ascii="宋体" w:hAnsi="宋体" w:cs="Calibri"/>
                <w:sz w:val="24"/>
              </w:rPr>
            </w:pPr>
            <w:r>
              <w:rPr>
                <w:rFonts w:ascii="宋体" w:hAnsi="宋体" w:cs="Calibri"/>
                <w:sz w:val="24"/>
              </w:rPr>
              <w:t>负责人</w:t>
            </w:r>
          </w:p>
        </w:tc>
        <w:tc>
          <w:tcPr>
            <w:tcW w:w="1101" w:type="dxa"/>
            <w:vAlign w:val="center"/>
          </w:tcPr>
          <w:p w14:paraId="589A2FE4">
            <w:pPr>
              <w:spacing w:line="276" w:lineRule="auto"/>
              <w:jc w:val="center"/>
              <w:rPr>
                <w:rFonts w:ascii="宋体" w:hAnsi="宋体" w:cs="Calibri"/>
                <w:sz w:val="24"/>
              </w:rPr>
            </w:pPr>
            <w:r>
              <w:rPr>
                <w:rFonts w:ascii="宋体" w:hAnsi="宋体" w:cs="Calibri"/>
                <w:sz w:val="24"/>
              </w:rPr>
              <w:t>姓名</w:t>
            </w:r>
          </w:p>
        </w:tc>
        <w:tc>
          <w:tcPr>
            <w:tcW w:w="2065" w:type="dxa"/>
            <w:gridSpan w:val="2"/>
            <w:vAlign w:val="center"/>
          </w:tcPr>
          <w:p w14:paraId="1EC81D41">
            <w:pPr>
              <w:spacing w:line="276" w:lineRule="auto"/>
              <w:jc w:val="center"/>
              <w:rPr>
                <w:rFonts w:ascii="宋体" w:hAnsi="宋体" w:cs="Calibri"/>
                <w:sz w:val="24"/>
              </w:rPr>
            </w:pPr>
          </w:p>
        </w:tc>
        <w:tc>
          <w:tcPr>
            <w:tcW w:w="1652" w:type="dxa"/>
            <w:vAlign w:val="center"/>
          </w:tcPr>
          <w:p w14:paraId="1770759B">
            <w:pPr>
              <w:spacing w:line="276" w:lineRule="auto"/>
              <w:jc w:val="center"/>
              <w:rPr>
                <w:rFonts w:ascii="宋体" w:hAnsi="宋体" w:cs="Calibri"/>
                <w:sz w:val="24"/>
              </w:rPr>
            </w:pPr>
            <w:r>
              <w:rPr>
                <w:rFonts w:ascii="宋体" w:hAnsi="宋体" w:cs="Calibri"/>
                <w:sz w:val="24"/>
              </w:rPr>
              <w:t>职称</w:t>
            </w:r>
          </w:p>
        </w:tc>
        <w:tc>
          <w:tcPr>
            <w:tcW w:w="2031" w:type="dxa"/>
            <w:vAlign w:val="center"/>
          </w:tcPr>
          <w:p w14:paraId="69C785F6">
            <w:pPr>
              <w:spacing w:line="276" w:lineRule="auto"/>
              <w:jc w:val="center"/>
              <w:rPr>
                <w:rFonts w:ascii="宋体" w:hAnsi="宋体" w:cs="Calibri"/>
                <w:sz w:val="24"/>
              </w:rPr>
            </w:pPr>
          </w:p>
        </w:tc>
      </w:tr>
      <w:tr w14:paraId="7E23EA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2170" w:type="dxa"/>
            <w:vAlign w:val="center"/>
          </w:tcPr>
          <w:p w14:paraId="55C40155">
            <w:pPr>
              <w:spacing w:line="276" w:lineRule="auto"/>
              <w:jc w:val="center"/>
              <w:rPr>
                <w:rFonts w:ascii="宋体" w:hAnsi="宋体" w:cs="Calibri"/>
                <w:sz w:val="24"/>
              </w:rPr>
            </w:pPr>
            <w:r>
              <w:rPr>
                <w:rFonts w:ascii="宋体" w:hAnsi="宋体" w:cs="Calibri"/>
                <w:sz w:val="24"/>
              </w:rPr>
              <w:t>成立时间</w:t>
            </w:r>
          </w:p>
        </w:tc>
        <w:tc>
          <w:tcPr>
            <w:tcW w:w="2064" w:type="dxa"/>
            <w:gridSpan w:val="2"/>
            <w:vAlign w:val="center"/>
          </w:tcPr>
          <w:p w14:paraId="4320EAA3">
            <w:pPr>
              <w:spacing w:line="276" w:lineRule="auto"/>
              <w:jc w:val="center"/>
              <w:rPr>
                <w:rFonts w:ascii="宋体" w:hAnsi="宋体" w:cs="Calibri"/>
                <w:sz w:val="24"/>
              </w:rPr>
            </w:pPr>
          </w:p>
        </w:tc>
        <w:tc>
          <w:tcPr>
            <w:tcW w:w="1102" w:type="dxa"/>
            <w:vMerge w:val="restart"/>
            <w:vAlign w:val="center"/>
          </w:tcPr>
          <w:p w14:paraId="03946524">
            <w:pPr>
              <w:spacing w:line="276" w:lineRule="auto"/>
              <w:jc w:val="center"/>
              <w:rPr>
                <w:rFonts w:ascii="宋体" w:hAnsi="宋体" w:cs="Calibri"/>
                <w:sz w:val="24"/>
              </w:rPr>
            </w:pPr>
          </w:p>
          <w:p w14:paraId="75090441">
            <w:pPr>
              <w:spacing w:line="276" w:lineRule="auto"/>
              <w:jc w:val="center"/>
              <w:rPr>
                <w:rFonts w:ascii="宋体" w:hAnsi="宋体" w:cs="Calibri"/>
                <w:sz w:val="24"/>
              </w:rPr>
            </w:pPr>
          </w:p>
          <w:p w14:paraId="6C6C2ED3">
            <w:pPr>
              <w:spacing w:line="276" w:lineRule="auto"/>
              <w:jc w:val="center"/>
              <w:rPr>
                <w:rFonts w:ascii="宋体" w:hAnsi="宋体" w:cs="Calibri"/>
                <w:sz w:val="24"/>
              </w:rPr>
            </w:pPr>
          </w:p>
          <w:p w14:paraId="06E16066">
            <w:pPr>
              <w:spacing w:line="276" w:lineRule="auto"/>
              <w:jc w:val="center"/>
              <w:rPr>
                <w:rFonts w:ascii="宋体" w:hAnsi="宋体" w:cs="Calibri"/>
                <w:sz w:val="24"/>
              </w:rPr>
            </w:pPr>
            <w:r>
              <w:rPr>
                <w:rFonts w:ascii="宋体" w:hAnsi="宋体" w:cs="Calibri"/>
                <w:sz w:val="24"/>
              </w:rPr>
              <w:t>其中</w:t>
            </w:r>
          </w:p>
        </w:tc>
        <w:tc>
          <w:tcPr>
            <w:tcW w:w="3683" w:type="dxa"/>
            <w:gridSpan w:val="2"/>
            <w:vAlign w:val="center"/>
          </w:tcPr>
          <w:p w14:paraId="6815316B">
            <w:pPr>
              <w:tabs>
                <w:tab w:val="left" w:pos="690"/>
              </w:tabs>
              <w:spacing w:line="276" w:lineRule="auto"/>
              <w:jc w:val="center"/>
              <w:rPr>
                <w:rFonts w:ascii="宋体" w:hAnsi="宋体" w:cs="Calibri"/>
                <w:sz w:val="24"/>
              </w:rPr>
            </w:pPr>
            <w:r>
              <w:rPr>
                <w:rFonts w:hint="eastAsia" w:ascii="宋体" w:hAnsi="宋体" w:cs="Calibri"/>
                <w:sz w:val="24"/>
              </w:rPr>
              <w:t>现在岗</w:t>
            </w:r>
            <w:r>
              <w:rPr>
                <w:rFonts w:ascii="宋体" w:hAnsi="宋体" w:cs="Calibri"/>
                <w:sz w:val="24"/>
              </w:rPr>
              <w:t>员工总人数</w:t>
            </w:r>
          </w:p>
        </w:tc>
      </w:tr>
      <w:tr w14:paraId="1C5FF9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2170" w:type="dxa"/>
            <w:vAlign w:val="center"/>
          </w:tcPr>
          <w:p w14:paraId="561D5D41">
            <w:pPr>
              <w:spacing w:line="276" w:lineRule="auto"/>
              <w:jc w:val="center"/>
              <w:rPr>
                <w:rFonts w:ascii="宋体" w:hAnsi="宋体" w:cs="Calibri"/>
                <w:sz w:val="24"/>
              </w:rPr>
            </w:pPr>
            <w:r>
              <w:rPr>
                <w:rFonts w:ascii="宋体" w:hAnsi="宋体" w:cs="Calibri"/>
                <w:sz w:val="24"/>
              </w:rPr>
              <w:t>企业资质等级</w:t>
            </w:r>
          </w:p>
        </w:tc>
        <w:tc>
          <w:tcPr>
            <w:tcW w:w="2064" w:type="dxa"/>
            <w:gridSpan w:val="2"/>
            <w:vAlign w:val="center"/>
          </w:tcPr>
          <w:p w14:paraId="3CA0A0D7">
            <w:pPr>
              <w:spacing w:line="276" w:lineRule="auto"/>
              <w:jc w:val="center"/>
              <w:rPr>
                <w:rFonts w:ascii="宋体" w:hAnsi="宋体" w:cs="Calibri"/>
                <w:sz w:val="24"/>
              </w:rPr>
            </w:pPr>
          </w:p>
        </w:tc>
        <w:tc>
          <w:tcPr>
            <w:tcW w:w="1102" w:type="dxa"/>
            <w:vMerge w:val="continue"/>
            <w:vAlign w:val="center"/>
          </w:tcPr>
          <w:p w14:paraId="1A116DFE">
            <w:pPr>
              <w:spacing w:line="276" w:lineRule="auto"/>
              <w:jc w:val="center"/>
              <w:rPr>
                <w:rFonts w:ascii="宋体" w:hAnsi="宋体" w:cs="Calibri"/>
                <w:sz w:val="24"/>
              </w:rPr>
            </w:pPr>
          </w:p>
        </w:tc>
        <w:tc>
          <w:tcPr>
            <w:tcW w:w="1652" w:type="dxa"/>
            <w:vMerge w:val="restart"/>
            <w:vAlign w:val="center"/>
          </w:tcPr>
          <w:p w14:paraId="59AB7209">
            <w:pPr>
              <w:tabs>
                <w:tab w:val="left" w:pos="690"/>
              </w:tabs>
              <w:spacing w:line="276" w:lineRule="auto"/>
              <w:jc w:val="center"/>
              <w:rPr>
                <w:rFonts w:ascii="宋体" w:hAnsi="宋体" w:cs="Calibri"/>
                <w:sz w:val="24"/>
              </w:rPr>
            </w:pPr>
            <w:r>
              <w:rPr>
                <w:rFonts w:hint="eastAsia" w:ascii="宋体" w:hAnsi="宋体" w:cs="Calibri"/>
                <w:sz w:val="24"/>
              </w:rPr>
              <w:t>自有讲师</w:t>
            </w:r>
          </w:p>
        </w:tc>
        <w:tc>
          <w:tcPr>
            <w:tcW w:w="2031" w:type="dxa"/>
            <w:vMerge w:val="restart"/>
            <w:vAlign w:val="center"/>
          </w:tcPr>
          <w:p w14:paraId="4E85B148">
            <w:pPr>
              <w:tabs>
                <w:tab w:val="left" w:pos="690"/>
              </w:tabs>
              <w:spacing w:line="276" w:lineRule="auto"/>
              <w:jc w:val="center"/>
              <w:rPr>
                <w:rFonts w:ascii="宋体" w:hAnsi="宋体" w:cs="Calibri"/>
                <w:sz w:val="24"/>
              </w:rPr>
            </w:pPr>
          </w:p>
        </w:tc>
      </w:tr>
      <w:tr w14:paraId="6683FB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2170" w:type="dxa"/>
            <w:vAlign w:val="center"/>
          </w:tcPr>
          <w:p w14:paraId="16E071A4">
            <w:pPr>
              <w:spacing w:line="276" w:lineRule="auto"/>
              <w:jc w:val="center"/>
              <w:rPr>
                <w:rFonts w:ascii="宋体" w:hAnsi="宋体" w:cs="Calibri"/>
                <w:sz w:val="24"/>
              </w:rPr>
            </w:pPr>
            <w:r>
              <w:rPr>
                <w:rFonts w:ascii="宋体" w:hAnsi="宋体" w:cs="Calibri"/>
                <w:sz w:val="24"/>
              </w:rPr>
              <w:t>营业执照号</w:t>
            </w:r>
          </w:p>
        </w:tc>
        <w:tc>
          <w:tcPr>
            <w:tcW w:w="2064" w:type="dxa"/>
            <w:gridSpan w:val="2"/>
            <w:vAlign w:val="center"/>
          </w:tcPr>
          <w:p w14:paraId="00720CF7">
            <w:pPr>
              <w:spacing w:line="276" w:lineRule="auto"/>
              <w:jc w:val="center"/>
              <w:rPr>
                <w:rFonts w:ascii="宋体" w:hAnsi="宋体" w:cs="Calibri"/>
                <w:sz w:val="24"/>
              </w:rPr>
            </w:pPr>
          </w:p>
        </w:tc>
        <w:tc>
          <w:tcPr>
            <w:tcW w:w="1102" w:type="dxa"/>
            <w:vMerge w:val="continue"/>
            <w:vAlign w:val="center"/>
          </w:tcPr>
          <w:p w14:paraId="12824BE2">
            <w:pPr>
              <w:spacing w:line="276" w:lineRule="auto"/>
              <w:jc w:val="center"/>
              <w:rPr>
                <w:rFonts w:ascii="宋体" w:hAnsi="宋体" w:cs="Calibri"/>
                <w:sz w:val="24"/>
              </w:rPr>
            </w:pPr>
          </w:p>
        </w:tc>
        <w:tc>
          <w:tcPr>
            <w:tcW w:w="1652" w:type="dxa"/>
            <w:vMerge w:val="continue"/>
            <w:vAlign w:val="center"/>
          </w:tcPr>
          <w:p w14:paraId="7190234B">
            <w:pPr>
              <w:tabs>
                <w:tab w:val="left" w:pos="690"/>
              </w:tabs>
              <w:spacing w:line="276" w:lineRule="auto"/>
              <w:jc w:val="center"/>
              <w:rPr>
                <w:rFonts w:ascii="宋体" w:hAnsi="宋体" w:cs="Calibri"/>
                <w:sz w:val="24"/>
              </w:rPr>
            </w:pPr>
          </w:p>
        </w:tc>
        <w:tc>
          <w:tcPr>
            <w:tcW w:w="2031" w:type="dxa"/>
            <w:vMerge w:val="continue"/>
            <w:vAlign w:val="center"/>
          </w:tcPr>
          <w:p w14:paraId="4D6903FC">
            <w:pPr>
              <w:tabs>
                <w:tab w:val="left" w:pos="690"/>
              </w:tabs>
              <w:spacing w:line="276" w:lineRule="auto"/>
              <w:jc w:val="center"/>
              <w:rPr>
                <w:rFonts w:ascii="宋体" w:hAnsi="宋体" w:cs="Calibri"/>
                <w:sz w:val="24"/>
              </w:rPr>
            </w:pPr>
          </w:p>
        </w:tc>
      </w:tr>
      <w:tr w14:paraId="4BE6D3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2170" w:type="dxa"/>
            <w:vAlign w:val="center"/>
          </w:tcPr>
          <w:p w14:paraId="2567BBB2">
            <w:pPr>
              <w:spacing w:line="276" w:lineRule="auto"/>
              <w:jc w:val="center"/>
              <w:rPr>
                <w:rFonts w:ascii="宋体" w:hAnsi="宋体" w:cs="Calibri"/>
                <w:sz w:val="24"/>
              </w:rPr>
            </w:pPr>
            <w:r>
              <w:rPr>
                <w:rFonts w:ascii="宋体" w:hAnsi="宋体" w:cs="Calibri"/>
                <w:sz w:val="24"/>
              </w:rPr>
              <w:t>注册资金</w:t>
            </w:r>
          </w:p>
        </w:tc>
        <w:tc>
          <w:tcPr>
            <w:tcW w:w="2064" w:type="dxa"/>
            <w:gridSpan w:val="2"/>
            <w:vAlign w:val="center"/>
          </w:tcPr>
          <w:p w14:paraId="715ECD87">
            <w:pPr>
              <w:spacing w:line="276" w:lineRule="auto"/>
              <w:jc w:val="center"/>
              <w:rPr>
                <w:rFonts w:ascii="宋体" w:hAnsi="宋体" w:cs="Calibri"/>
                <w:sz w:val="24"/>
              </w:rPr>
            </w:pPr>
          </w:p>
        </w:tc>
        <w:tc>
          <w:tcPr>
            <w:tcW w:w="1102" w:type="dxa"/>
            <w:vMerge w:val="continue"/>
            <w:vAlign w:val="center"/>
          </w:tcPr>
          <w:p w14:paraId="1D56CEC8">
            <w:pPr>
              <w:spacing w:line="276" w:lineRule="auto"/>
              <w:jc w:val="center"/>
              <w:rPr>
                <w:rFonts w:ascii="宋体" w:hAnsi="宋体" w:cs="Calibri"/>
                <w:sz w:val="24"/>
              </w:rPr>
            </w:pPr>
          </w:p>
        </w:tc>
        <w:tc>
          <w:tcPr>
            <w:tcW w:w="1652" w:type="dxa"/>
            <w:vMerge w:val="restart"/>
            <w:vAlign w:val="center"/>
          </w:tcPr>
          <w:p w14:paraId="34A09FB0">
            <w:pPr>
              <w:tabs>
                <w:tab w:val="left" w:pos="690"/>
              </w:tabs>
              <w:spacing w:line="276" w:lineRule="auto"/>
              <w:rPr>
                <w:rFonts w:ascii="宋体" w:hAnsi="宋体" w:cs="Calibri"/>
                <w:sz w:val="24"/>
              </w:rPr>
            </w:pPr>
            <w:r>
              <w:rPr>
                <w:rFonts w:hint="eastAsia" w:ascii="宋体" w:hAnsi="宋体" w:cs="Calibri"/>
                <w:sz w:val="24"/>
              </w:rPr>
              <w:t>兼职教师</w:t>
            </w:r>
          </w:p>
        </w:tc>
        <w:tc>
          <w:tcPr>
            <w:tcW w:w="2031" w:type="dxa"/>
            <w:vMerge w:val="restart"/>
            <w:vAlign w:val="center"/>
          </w:tcPr>
          <w:p w14:paraId="5CD27A06">
            <w:pPr>
              <w:tabs>
                <w:tab w:val="left" w:pos="690"/>
              </w:tabs>
              <w:spacing w:line="276" w:lineRule="auto"/>
              <w:jc w:val="center"/>
              <w:rPr>
                <w:rFonts w:ascii="宋体" w:hAnsi="宋体" w:cs="Calibri"/>
                <w:sz w:val="24"/>
              </w:rPr>
            </w:pPr>
          </w:p>
        </w:tc>
      </w:tr>
      <w:tr w14:paraId="2FE066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2170" w:type="dxa"/>
            <w:vAlign w:val="center"/>
          </w:tcPr>
          <w:p w14:paraId="61A5F773">
            <w:pPr>
              <w:spacing w:line="276" w:lineRule="auto"/>
              <w:jc w:val="center"/>
              <w:rPr>
                <w:rFonts w:ascii="宋体" w:hAnsi="宋体" w:cs="Calibri"/>
                <w:sz w:val="24"/>
              </w:rPr>
            </w:pPr>
            <w:r>
              <w:rPr>
                <w:rFonts w:ascii="宋体" w:hAnsi="宋体" w:cs="Calibri"/>
                <w:sz w:val="24"/>
              </w:rPr>
              <w:t>开户银行</w:t>
            </w:r>
          </w:p>
        </w:tc>
        <w:tc>
          <w:tcPr>
            <w:tcW w:w="2064" w:type="dxa"/>
            <w:gridSpan w:val="2"/>
            <w:vAlign w:val="center"/>
          </w:tcPr>
          <w:p w14:paraId="73B58573">
            <w:pPr>
              <w:spacing w:line="276" w:lineRule="auto"/>
              <w:jc w:val="center"/>
              <w:rPr>
                <w:rFonts w:ascii="宋体" w:hAnsi="宋体" w:cs="Calibri"/>
                <w:sz w:val="24"/>
              </w:rPr>
            </w:pPr>
          </w:p>
        </w:tc>
        <w:tc>
          <w:tcPr>
            <w:tcW w:w="1102" w:type="dxa"/>
            <w:vMerge w:val="continue"/>
            <w:vAlign w:val="center"/>
          </w:tcPr>
          <w:p w14:paraId="4823C844">
            <w:pPr>
              <w:spacing w:line="276" w:lineRule="auto"/>
              <w:jc w:val="center"/>
              <w:rPr>
                <w:rFonts w:ascii="宋体" w:hAnsi="宋体" w:cs="Calibri"/>
                <w:sz w:val="24"/>
              </w:rPr>
            </w:pPr>
          </w:p>
        </w:tc>
        <w:tc>
          <w:tcPr>
            <w:tcW w:w="1652" w:type="dxa"/>
            <w:vMerge w:val="continue"/>
            <w:vAlign w:val="center"/>
          </w:tcPr>
          <w:p w14:paraId="4346EAFA">
            <w:pPr>
              <w:tabs>
                <w:tab w:val="left" w:pos="690"/>
              </w:tabs>
              <w:spacing w:line="276" w:lineRule="auto"/>
              <w:jc w:val="center"/>
              <w:rPr>
                <w:rFonts w:ascii="宋体" w:hAnsi="宋体" w:cs="Calibri"/>
                <w:sz w:val="24"/>
              </w:rPr>
            </w:pPr>
          </w:p>
        </w:tc>
        <w:tc>
          <w:tcPr>
            <w:tcW w:w="2031" w:type="dxa"/>
            <w:vMerge w:val="continue"/>
            <w:vAlign w:val="center"/>
          </w:tcPr>
          <w:p w14:paraId="2A99F661">
            <w:pPr>
              <w:tabs>
                <w:tab w:val="left" w:pos="690"/>
              </w:tabs>
              <w:spacing w:line="276" w:lineRule="auto"/>
              <w:jc w:val="center"/>
              <w:rPr>
                <w:rFonts w:ascii="宋体" w:hAnsi="宋体" w:cs="Calibri"/>
                <w:sz w:val="24"/>
              </w:rPr>
            </w:pPr>
          </w:p>
        </w:tc>
      </w:tr>
      <w:tr w14:paraId="2577FE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trPr>
        <w:tc>
          <w:tcPr>
            <w:tcW w:w="2170" w:type="dxa"/>
            <w:vAlign w:val="center"/>
          </w:tcPr>
          <w:p w14:paraId="3622A7BE">
            <w:pPr>
              <w:spacing w:line="276" w:lineRule="auto"/>
              <w:jc w:val="center"/>
              <w:rPr>
                <w:rFonts w:ascii="宋体" w:hAnsi="宋体" w:cs="Calibri"/>
                <w:sz w:val="24"/>
              </w:rPr>
            </w:pPr>
            <w:r>
              <w:rPr>
                <w:rFonts w:ascii="宋体" w:hAnsi="宋体" w:cs="Calibri"/>
                <w:sz w:val="24"/>
              </w:rPr>
              <w:t>银行账号</w:t>
            </w:r>
          </w:p>
        </w:tc>
        <w:tc>
          <w:tcPr>
            <w:tcW w:w="2064" w:type="dxa"/>
            <w:gridSpan w:val="2"/>
            <w:vAlign w:val="center"/>
          </w:tcPr>
          <w:p w14:paraId="2A038E4C">
            <w:pPr>
              <w:spacing w:line="276" w:lineRule="auto"/>
              <w:jc w:val="center"/>
              <w:rPr>
                <w:rFonts w:ascii="宋体" w:hAnsi="宋体" w:cs="Calibri"/>
                <w:sz w:val="24"/>
              </w:rPr>
            </w:pPr>
          </w:p>
        </w:tc>
        <w:tc>
          <w:tcPr>
            <w:tcW w:w="1102" w:type="dxa"/>
            <w:vMerge w:val="continue"/>
            <w:vAlign w:val="center"/>
          </w:tcPr>
          <w:p w14:paraId="2F147338">
            <w:pPr>
              <w:spacing w:line="276" w:lineRule="auto"/>
              <w:jc w:val="center"/>
              <w:rPr>
                <w:rFonts w:ascii="宋体" w:hAnsi="宋体" w:cs="Calibri"/>
                <w:sz w:val="24"/>
              </w:rPr>
            </w:pPr>
          </w:p>
        </w:tc>
        <w:tc>
          <w:tcPr>
            <w:tcW w:w="1652" w:type="dxa"/>
            <w:vMerge w:val="continue"/>
            <w:vAlign w:val="center"/>
          </w:tcPr>
          <w:p w14:paraId="391813D7">
            <w:pPr>
              <w:tabs>
                <w:tab w:val="left" w:pos="690"/>
              </w:tabs>
              <w:spacing w:line="276" w:lineRule="auto"/>
              <w:jc w:val="center"/>
              <w:rPr>
                <w:rFonts w:ascii="宋体" w:hAnsi="宋体" w:cs="Calibri"/>
                <w:sz w:val="24"/>
              </w:rPr>
            </w:pPr>
          </w:p>
        </w:tc>
        <w:tc>
          <w:tcPr>
            <w:tcW w:w="2031" w:type="dxa"/>
            <w:vMerge w:val="continue"/>
            <w:vAlign w:val="center"/>
          </w:tcPr>
          <w:p w14:paraId="748DAF7B">
            <w:pPr>
              <w:tabs>
                <w:tab w:val="left" w:pos="690"/>
              </w:tabs>
              <w:spacing w:line="276" w:lineRule="auto"/>
              <w:jc w:val="center"/>
              <w:rPr>
                <w:rFonts w:ascii="宋体" w:hAnsi="宋体" w:cs="Calibri"/>
                <w:sz w:val="24"/>
              </w:rPr>
            </w:pPr>
          </w:p>
        </w:tc>
      </w:tr>
      <w:tr w14:paraId="2D9DF2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43" w:hRule="atLeast"/>
        </w:trPr>
        <w:tc>
          <w:tcPr>
            <w:tcW w:w="9019" w:type="dxa"/>
            <w:gridSpan w:val="6"/>
            <w:vAlign w:val="center"/>
          </w:tcPr>
          <w:p w14:paraId="2ED65918">
            <w:pPr>
              <w:tabs>
                <w:tab w:val="left" w:pos="690"/>
              </w:tabs>
              <w:spacing w:line="276" w:lineRule="auto"/>
              <w:jc w:val="left"/>
            </w:pPr>
            <w:r>
              <w:t>经营范围</w:t>
            </w:r>
            <w:r>
              <w:rPr>
                <w:rFonts w:hint="eastAsia"/>
              </w:rPr>
              <w:t>：</w:t>
            </w:r>
          </w:p>
          <w:p w14:paraId="25E73FC8">
            <w:pPr>
              <w:pStyle w:val="3"/>
            </w:pPr>
          </w:p>
          <w:p w14:paraId="5E99E09E"/>
          <w:p w14:paraId="7A1D1FA9">
            <w:pPr>
              <w:pStyle w:val="3"/>
            </w:pPr>
          </w:p>
        </w:tc>
      </w:tr>
    </w:tbl>
    <w:p w14:paraId="250E0C6E">
      <w:pPr>
        <w:pStyle w:val="7"/>
        <w:spacing w:line="560" w:lineRule="exact"/>
        <w:ind w:right="283" w:rightChars="135"/>
        <w:rPr>
          <w:rFonts w:ascii="宋体" w:hAnsi="宋体" w:eastAsia="宋体" w:cs="宋体"/>
          <w:sz w:val="24"/>
          <w:szCs w:val="24"/>
        </w:rPr>
      </w:pPr>
      <w:r>
        <w:rPr>
          <w:rFonts w:hint="eastAsia" w:ascii="宋体" w:hAnsi="宋体" w:eastAsia="宋体" w:cs="宋体"/>
          <w:sz w:val="24"/>
          <w:szCs w:val="24"/>
        </w:rPr>
        <w:t>投标人：（盖章）</w:t>
      </w:r>
    </w:p>
    <w:p w14:paraId="0A30366B">
      <w:pPr>
        <w:spacing w:line="660" w:lineRule="exact"/>
        <w:rPr>
          <w:rFonts w:ascii="宋体" w:hAnsi="宋体" w:cs="宋体"/>
          <w:sz w:val="24"/>
          <w:szCs w:val="24"/>
        </w:rPr>
      </w:pPr>
      <w:r>
        <w:rPr>
          <w:rFonts w:hint="eastAsia" w:ascii="宋体" w:hAnsi="宋体" w:cs="宋体"/>
          <w:sz w:val="24"/>
          <w:szCs w:val="24"/>
        </w:rPr>
        <w:t>法定代表人（委托代理人）：（签字）</w:t>
      </w:r>
    </w:p>
    <w:p w14:paraId="6ED82076">
      <w:pPr>
        <w:pStyle w:val="7"/>
        <w:spacing w:line="560" w:lineRule="exact"/>
        <w:ind w:right="283" w:rightChars="135"/>
        <w:rPr>
          <w:rFonts w:ascii="宋体" w:hAnsi="宋体" w:eastAsia="宋体" w:cs="宋体"/>
          <w:sz w:val="24"/>
          <w:szCs w:val="24"/>
        </w:rPr>
      </w:pPr>
      <w:r>
        <w:rPr>
          <w:rFonts w:hint="eastAsia" w:ascii="宋体" w:hAnsi="宋体" w:eastAsia="宋体" w:cs="宋体"/>
          <w:sz w:val="24"/>
          <w:szCs w:val="24"/>
        </w:rPr>
        <w:t>日期：    年    月   日</w:t>
      </w:r>
    </w:p>
    <w:p w14:paraId="7C23D7B6">
      <w:pPr>
        <w:rPr>
          <w:rFonts w:ascii="宋体" w:hAnsi="宋体" w:cs="宋体"/>
          <w:sz w:val="24"/>
          <w:szCs w:val="24"/>
        </w:rPr>
      </w:pPr>
    </w:p>
    <w:p w14:paraId="709DE917">
      <w:pPr>
        <w:pStyle w:val="2"/>
        <w:rPr>
          <w:rFonts w:ascii="宋体" w:hAnsi="宋体" w:cs="宋体"/>
          <w:sz w:val="24"/>
          <w:szCs w:val="24"/>
        </w:rPr>
      </w:pPr>
    </w:p>
    <w:p w14:paraId="5C60CE18">
      <w:pPr>
        <w:pStyle w:val="2"/>
        <w:rPr>
          <w:rFonts w:ascii="宋体" w:hAnsi="宋体" w:cs="宋体"/>
          <w:sz w:val="24"/>
          <w:szCs w:val="24"/>
        </w:rPr>
      </w:pPr>
    </w:p>
    <w:p w14:paraId="17011E36">
      <w:pPr>
        <w:rPr>
          <w:rFonts w:ascii="宋体" w:hAnsi="宋体" w:cs="宋体"/>
          <w:sz w:val="24"/>
          <w:szCs w:val="24"/>
        </w:rPr>
      </w:pPr>
      <w:bookmarkStart w:id="16" w:name="_Toc32286"/>
      <w:r>
        <w:rPr>
          <w:rFonts w:hint="eastAsia" w:ascii="宋体" w:hAnsi="宋体" w:cs="宋体"/>
          <w:sz w:val="24"/>
          <w:szCs w:val="24"/>
        </w:rPr>
        <w:t>附件3</w:t>
      </w:r>
      <w:bookmarkEnd w:id="16"/>
    </w:p>
    <w:p w14:paraId="4E3CFABB">
      <w:pPr>
        <w:rPr>
          <w:rFonts w:eastAsia="黑体"/>
          <w:b/>
          <w:bCs/>
          <w:sz w:val="28"/>
        </w:rPr>
      </w:pPr>
      <w:r>
        <w:rPr>
          <w:rFonts w:hint="eastAsia" w:eastAsia="黑体"/>
          <w:b/>
          <w:bCs/>
          <w:sz w:val="28"/>
        </w:rPr>
        <w:t>《开标一览表》单独封存，以备唱标使用</w:t>
      </w:r>
    </w:p>
    <w:p w14:paraId="41064628">
      <w:pPr>
        <w:jc w:val="center"/>
        <w:rPr>
          <w:rFonts w:ascii="黑体" w:eastAsia="黑体"/>
          <w:sz w:val="30"/>
        </w:rPr>
      </w:pPr>
      <w:r>
        <w:rPr>
          <w:rFonts w:hint="eastAsia" w:ascii="黑体" w:eastAsia="黑体"/>
          <w:sz w:val="30"/>
        </w:rPr>
        <w:t>开标一览表</w:t>
      </w:r>
    </w:p>
    <w:tbl>
      <w:tblPr>
        <w:tblStyle w:val="18"/>
        <w:tblW w:w="797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53"/>
        <w:gridCol w:w="2009"/>
        <w:gridCol w:w="1276"/>
        <w:gridCol w:w="1276"/>
        <w:gridCol w:w="1857"/>
      </w:tblGrid>
      <w:tr w14:paraId="16E6F5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1553" w:type="dxa"/>
            <w:vAlign w:val="center"/>
          </w:tcPr>
          <w:p w14:paraId="4A06CEC4">
            <w:pPr>
              <w:jc w:val="center"/>
              <w:rPr>
                <w:rFonts w:ascii="宋体" w:hAnsi="宋体"/>
                <w:sz w:val="24"/>
              </w:rPr>
            </w:pPr>
            <w:r>
              <w:rPr>
                <w:rFonts w:hint="eastAsia" w:ascii="黑体" w:hAnsi="黑体" w:eastAsia="黑体" w:cs="宋体"/>
                <w:color w:val="000000"/>
                <w:kern w:val="0"/>
                <w:sz w:val="24"/>
              </w:rPr>
              <w:t>序号</w:t>
            </w:r>
          </w:p>
        </w:tc>
        <w:tc>
          <w:tcPr>
            <w:tcW w:w="2009" w:type="dxa"/>
            <w:vAlign w:val="center"/>
          </w:tcPr>
          <w:p w14:paraId="62CB2D56">
            <w:pPr>
              <w:jc w:val="center"/>
              <w:rPr>
                <w:rFonts w:ascii="黑体" w:hAnsi="黑体" w:eastAsia="黑体" w:cs="宋体"/>
                <w:color w:val="000000"/>
                <w:kern w:val="0"/>
                <w:sz w:val="24"/>
              </w:rPr>
            </w:pPr>
            <w:r>
              <w:rPr>
                <w:rFonts w:hint="eastAsia" w:ascii="黑体" w:hAnsi="黑体" w:eastAsia="黑体" w:cs="宋体"/>
                <w:color w:val="000000"/>
                <w:kern w:val="0"/>
                <w:sz w:val="24"/>
              </w:rPr>
              <w:t>物资或服务单价</w:t>
            </w:r>
          </w:p>
        </w:tc>
        <w:tc>
          <w:tcPr>
            <w:tcW w:w="1276" w:type="dxa"/>
            <w:vAlign w:val="center"/>
          </w:tcPr>
          <w:p w14:paraId="1AE6C5C0">
            <w:pPr>
              <w:jc w:val="center"/>
              <w:rPr>
                <w:rFonts w:ascii="黑体" w:hAnsi="黑体" w:eastAsia="黑体" w:cs="宋体"/>
                <w:color w:val="000000"/>
                <w:kern w:val="0"/>
                <w:sz w:val="24"/>
              </w:rPr>
            </w:pPr>
            <w:r>
              <w:rPr>
                <w:rFonts w:hint="eastAsia" w:ascii="黑体" w:hAnsi="黑体" w:eastAsia="黑体" w:cs="宋体"/>
                <w:color w:val="000000"/>
                <w:kern w:val="0"/>
                <w:sz w:val="24"/>
              </w:rPr>
              <w:t>数量</w:t>
            </w:r>
          </w:p>
        </w:tc>
        <w:tc>
          <w:tcPr>
            <w:tcW w:w="1276" w:type="dxa"/>
            <w:vAlign w:val="center"/>
          </w:tcPr>
          <w:p w14:paraId="25B64805">
            <w:pPr>
              <w:jc w:val="center"/>
              <w:rPr>
                <w:rFonts w:ascii="黑体" w:hAnsi="黑体" w:eastAsia="黑体" w:cs="宋体"/>
                <w:color w:val="000000"/>
                <w:kern w:val="0"/>
                <w:sz w:val="24"/>
              </w:rPr>
            </w:pPr>
            <w:r>
              <w:rPr>
                <w:rFonts w:hint="eastAsia" w:ascii="黑体" w:hAnsi="黑体" w:eastAsia="黑体" w:cs="宋体"/>
                <w:color w:val="000000"/>
                <w:kern w:val="0"/>
                <w:sz w:val="24"/>
              </w:rPr>
              <w:t>总价</w:t>
            </w:r>
          </w:p>
        </w:tc>
        <w:tc>
          <w:tcPr>
            <w:tcW w:w="1857" w:type="dxa"/>
            <w:vAlign w:val="center"/>
          </w:tcPr>
          <w:p w14:paraId="22A94589">
            <w:pPr>
              <w:jc w:val="center"/>
              <w:rPr>
                <w:rFonts w:ascii="黑体" w:hAnsi="黑体" w:eastAsia="黑体" w:cs="宋体"/>
                <w:color w:val="000000"/>
                <w:kern w:val="0"/>
                <w:sz w:val="24"/>
              </w:rPr>
            </w:pPr>
            <w:r>
              <w:rPr>
                <w:rFonts w:hint="eastAsia" w:ascii="黑体" w:hAnsi="黑体" w:eastAsia="黑体" w:cs="宋体"/>
                <w:color w:val="000000"/>
                <w:kern w:val="0"/>
                <w:sz w:val="24"/>
              </w:rPr>
              <w:t>以上报价均为不含税价</w:t>
            </w:r>
          </w:p>
        </w:tc>
      </w:tr>
      <w:tr w14:paraId="208E3A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1553" w:type="dxa"/>
            <w:vAlign w:val="center"/>
          </w:tcPr>
          <w:p w14:paraId="25188D1C">
            <w:pPr>
              <w:jc w:val="center"/>
              <w:rPr>
                <w:rFonts w:ascii="黑体" w:hAnsi="黑体" w:eastAsia="黑体" w:cs="宋体"/>
                <w:color w:val="000000"/>
                <w:kern w:val="0"/>
                <w:sz w:val="24"/>
              </w:rPr>
            </w:pPr>
          </w:p>
        </w:tc>
        <w:tc>
          <w:tcPr>
            <w:tcW w:w="2009" w:type="dxa"/>
            <w:vAlign w:val="center"/>
          </w:tcPr>
          <w:p w14:paraId="277D9001">
            <w:pPr>
              <w:rPr>
                <w:rFonts w:ascii="宋体" w:hAnsi="宋体"/>
                <w:sz w:val="24"/>
              </w:rPr>
            </w:pPr>
          </w:p>
        </w:tc>
        <w:tc>
          <w:tcPr>
            <w:tcW w:w="1276" w:type="dxa"/>
            <w:vAlign w:val="center"/>
          </w:tcPr>
          <w:p w14:paraId="2F9B7879">
            <w:pPr>
              <w:rPr>
                <w:rFonts w:ascii="宋体" w:hAnsi="宋体"/>
                <w:sz w:val="24"/>
              </w:rPr>
            </w:pPr>
          </w:p>
        </w:tc>
        <w:tc>
          <w:tcPr>
            <w:tcW w:w="1276" w:type="dxa"/>
            <w:vAlign w:val="center"/>
          </w:tcPr>
          <w:p w14:paraId="39E818E4">
            <w:pPr>
              <w:rPr>
                <w:rFonts w:ascii="宋体" w:hAnsi="宋体"/>
                <w:sz w:val="24"/>
              </w:rPr>
            </w:pPr>
          </w:p>
        </w:tc>
        <w:tc>
          <w:tcPr>
            <w:tcW w:w="1857" w:type="dxa"/>
            <w:vAlign w:val="center"/>
          </w:tcPr>
          <w:p w14:paraId="096AEE65">
            <w:pPr>
              <w:rPr>
                <w:rFonts w:ascii="宋体" w:hAnsi="宋体"/>
                <w:sz w:val="24"/>
              </w:rPr>
            </w:pPr>
          </w:p>
        </w:tc>
      </w:tr>
      <w:tr w14:paraId="679B85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1553" w:type="dxa"/>
            <w:vAlign w:val="center"/>
          </w:tcPr>
          <w:p w14:paraId="77DDAB57">
            <w:pPr>
              <w:jc w:val="center"/>
              <w:rPr>
                <w:rFonts w:ascii="黑体" w:hAnsi="黑体" w:eastAsia="黑体" w:cs="宋体"/>
                <w:color w:val="000000"/>
                <w:kern w:val="0"/>
                <w:sz w:val="24"/>
              </w:rPr>
            </w:pPr>
          </w:p>
        </w:tc>
        <w:tc>
          <w:tcPr>
            <w:tcW w:w="2009" w:type="dxa"/>
            <w:vAlign w:val="center"/>
          </w:tcPr>
          <w:p w14:paraId="66E8DD04">
            <w:pPr>
              <w:rPr>
                <w:rFonts w:ascii="宋体" w:hAnsi="宋体"/>
                <w:sz w:val="24"/>
              </w:rPr>
            </w:pPr>
          </w:p>
        </w:tc>
        <w:tc>
          <w:tcPr>
            <w:tcW w:w="1276" w:type="dxa"/>
            <w:vAlign w:val="center"/>
          </w:tcPr>
          <w:p w14:paraId="4B7727E1">
            <w:pPr>
              <w:rPr>
                <w:rFonts w:ascii="宋体" w:hAnsi="宋体"/>
                <w:sz w:val="24"/>
              </w:rPr>
            </w:pPr>
          </w:p>
        </w:tc>
        <w:tc>
          <w:tcPr>
            <w:tcW w:w="1276" w:type="dxa"/>
            <w:vAlign w:val="center"/>
          </w:tcPr>
          <w:p w14:paraId="0C53E6A6">
            <w:pPr>
              <w:rPr>
                <w:rFonts w:ascii="宋体" w:hAnsi="宋体"/>
                <w:sz w:val="24"/>
              </w:rPr>
            </w:pPr>
          </w:p>
        </w:tc>
        <w:tc>
          <w:tcPr>
            <w:tcW w:w="1857" w:type="dxa"/>
            <w:vAlign w:val="center"/>
          </w:tcPr>
          <w:p w14:paraId="62E905C9">
            <w:pPr>
              <w:rPr>
                <w:rFonts w:ascii="宋体" w:hAnsi="宋体"/>
                <w:sz w:val="24"/>
              </w:rPr>
            </w:pPr>
          </w:p>
        </w:tc>
      </w:tr>
      <w:tr w14:paraId="03EFD0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1553" w:type="dxa"/>
            <w:vAlign w:val="center"/>
          </w:tcPr>
          <w:p w14:paraId="7F8E42F9">
            <w:pPr>
              <w:rPr>
                <w:rFonts w:ascii="宋体" w:hAnsi="宋体"/>
                <w:sz w:val="24"/>
              </w:rPr>
            </w:pPr>
          </w:p>
        </w:tc>
        <w:tc>
          <w:tcPr>
            <w:tcW w:w="2009" w:type="dxa"/>
            <w:vAlign w:val="center"/>
          </w:tcPr>
          <w:p w14:paraId="120F0440">
            <w:pPr>
              <w:rPr>
                <w:rFonts w:ascii="宋体" w:hAnsi="宋体"/>
                <w:sz w:val="24"/>
              </w:rPr>
            </w:pPr>
          </w:p>
        </w:tc>
        <w:tc>
          <w:tcPr>
            <w:tcW w:w="1276" w:type="dxa"/>
            <w:vAlign w:val="center"/>
          </w:tcPr>
          <w:p w14:paraId="2F15E761">
            <w:pPr>
              <w:rPr>
                <w:rFonts w:ascii="宋体" w:hAnsi="宋体"/>
                <w:sz w:val="24"/>
              </w:rPr>
            </w:pPr>
          </w:p>
        </w:tc>
        <w:tc>
          <w:tcPr>
            <w:tcW w:w="1276" w:type="dxa"/>
            <w:vAlign w:val="center"/>
          </w:tcPr>
          <w:p w14:paraId="4BA4FE6A">
            <w:pPr>
              <w:rPr>
                <w:rFonts w:ascii="宋体" w:hAnsi="宋体"/>
                <w:sz w:val="24"/>
              </w:rPr>
            </w:pPr>
          </w:p>
        </w:tc>
        <w:tc>
          <w:tcPr>
            <w:tcW w:w="1857" w:type="dxa"/>
            <w:vAlign w:val="center"/>
          </w:tcPr>
          <w:p w14:paraId="2FFEA75E">
            <w:pPr>
              <w:rPr>
                <w:rFonts w:ascii="宋体" w:hAnsi="宋体"/>
                <w:sz w:val="24"/>
              </w:rPr>
            </w:pPr>
          </w:p>
        </w:tc>
      </w:tr>
      <w:tr w14:paraId="700B27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1553" w:type="dxa"/>
            <w:vAlign w:val="center"/>
          </w:tcPr>
          <w:p w14:paraId="35141041">
            <w:pPr>
              <w:rPr>
                <w:rFonts w:ascii="宋体" w:hAnsi="宋体"/>
                <w:sz w:val="24"/>
              </w:rPr>
            </w:pPr>
          </w:p>
        </w:tc>
        <w:tc>
          <w:tcPr>
            <w:tcW w:w="2009" w:type="dxa"/>
            <w:vAlign w:val="center"/>
          </w:tcPr>
          <w:p w14:paraId="161DAC3F">
            <w:pPr>
              <w:rPr>
                <w:rFonts w:ascii="宋体" w:hAnsi="宋体"/>
                <w:sz w:val="24"/>
              </w:rPr>
            </w:pPr>
          </w:p>
        </w:tc>
        <w:tc>
          <w:tcPr>
            <w:tcW w:w="1276" w:type="dxa"/>
            <w:vAlign w:val="center"/>
          </w:tcPr>
          <w:p w14:paraId="03A975FB">
            <w:pPr>
              <w:rPr>
                <w:rFonts w:ascii="宋体" w:hAnsi="宋体"/>
                <w:sz w:val="24"/>
              </w:rPr>
            </w:pPr>
          </w:p>
        </w:tc>
        <w:tc>
          <w:tcPr>
            <w:tcW w:w="1276" w:type="dxa"/>
            <w:vAlign w:val="center"/>
          </w:tcPr>
          <w:p w14:paraId="23AD92E2">
            <w:pPr>
              <w:rPr>
                <w:rFonts w:ascii="宋体" w:hAnsi="宋体"/>
                <w:sz w:val="24"/>
              </w:rPr>
            </w:pPr>
          </w:p>
        </w:tc>
        <w:tc>
          <w:tcPr>
            <w:tcW w:w="1857" w:type="dxa"/>
            <w:vAlign w:val="center"/>
          </w:tcPr>
          <w:p w14:paraId="366A5F21">
            <w:pPr>
              <w:rPr>
                <w:rFonts w:ascii="宋体" w:hAnsi="宋体"/>
                <w:sz w:val="24"/>
              </w:rPr>
            </w:pPr>
          </w:p>
        </w:tc>
      </w:tr>
      <w:tr w14:paraId="21393E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1553" w:type="dxa"/>
            <w:vAlign w:val="center"/>
          </w:tcPr>
          <w:p w14:paraId="6CC71068">
            <w:pPr>
              <w:rPr>
                <w:rFonts w:ascii="宋体" w:hAnsi="宋体"/>
                <w:sz w:val="24"/>
              </w:rPr>
            </w:pPr>
          </w:p>
        </w:tc>
        <w:tc>
          <w:tcPr>
            <w:tcW w:w="2009" w:type="dxa"/>
            <w:vAlign w:val="center"/>
          </w:tcPr>
          <w:p w14:paraId="3F23B767">
            <w:pPr>
              <w:rPr>
                <w:rFonts w:ascii="宋体" w:hAnsi="宋体"/>
                <w:sz w:val="24"/>
              </w:rPr>
            </w:pPr>
          </w:p>
        </w:tc>
        <w:tc>
          <w:tcPr>
            <w:tcW w:w="1276" w:type="dxa"/>
            <w:vAlign w:val="center"/>
          </w:tcPr>
          <w:p w14:paraId="1B81ADE9">
            <w:pPr>
              <w:rPr>
                <w:rFonts w:ascii="宋体" w:hAnsi="宋体"/>
                <w:sz w:val="24"/>
              </w:rPr>
            </w:pPr>
          </w:p>
        </w:tc>
        <w:tc>
          <w:tcPr>
            <w:tcW w:w="1276" w:type="dxa"/>
            <w:vAlign w:val="center"/>
          </w:tcPr>
          <w:p w14:paraId="07666AC3">
            <w:pPr>
              <w:rPr>
                <w:rFonts w:ascii="宋体" w:hAnsi="宋体"/>
                <w:sz w:val="24"/>
              </w:rPr>
            </w:pPr>
          </w:p>
        </w:tc>
        <w:tc>
          <w:tcPr>
            <w:tcW w:w="1857" w:type="dxa"/>
            <w:vAlign w:val="center"/>
          </w:tcPr>
          <w:p w14:paraId="1EF9F5A7">
            <w:pPr>
              <w:rPr>
                <w:rFonts w:ascii="宋体" w:hAnsi="宋体"/>
                <w:sz w:val="24"/>
              </w:rPr>
            </w:pPr>
          </w:p>
        </w:tc>
      </w:tr>
      <w:tr w14:paraId="5063EA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1553" w:type="dxa"/>
            <w:vAlign w:val="center"/>
          </w:tcPr>
          <w:p w14:paraId="5A583790">
            <w:pPr>
              <w:rPr>
                <w:rFonts w:ascii="宋体" w:hAnsi="宋体"/>
                <w:sz w:val="24"/>
              </w:rPr>
            </w:pPr>
          </w:p>
        </w:tc>
        <w:tc>
          <w:tcPr>
            <w:tcW w:w="2009" w:type="dxa"/>
            <w:vAlign w:val="center"/>
          </w:tcPr>
          <w:p w14:paraId="00330291">
            <w:pPr>
              <w:rPr>
                <w:rFonts w:ascii="宋体" w:hAnsi="宋体"/>
                <w:sz w:val="24"/>
              </w:rPr>
            </w:pPr>
          </w:p>
        </w:tc>
        <w:tc>
          <w:tcPr>
            <w:tcW w:w="1276" w:type="dxa"/>
            <w:vAlign w:val="center"/>
          </w:tcPr>
          <w:p w14:paraId="71E196C4">
            <w:pPr>
              <w:rPr>
                <w:rFonts w:ascii="宋体" w:hAnsi="宋体"/>
                <w:sz w:val="24"/>
              </w:rPr>
            </w:pPr>
          </w:p>
        </w:tc>
        <w:tc>
          <w:tcPr>
            <w:tcW w:w="1276" w:type="dxa"/>
            <w:vAlign w:val="center"/>
          </w:tcPr>
          <w:p w14:paraId="7D233B0E">
            <w:pPr>
              <w:rPr>
                <w:rFonts w:ascii="宋体" w:hAnsi="宋体"/>
                <w:sz w:val="24"/>
              </w:rPr>
            </w:pPr>
          </w:p>
        </w:tc>
        <w:tc>
          <w:tcPr>
            <w:tcW w:w="1857" w:type="dxa"/>
            <w:vAlign w:val="center"/>
          </w:tcPr>
          <w:p w14:paraId="422E09B9">
            <w:pPr>
              <w:rPr>
                <w:rFonts w:ascii="宋体" w:hAnsi="宋体"/>
                <w:sz w:val="24"/>
              </w:rPr>
            </w:pPr>
          </w:p>
        </w:tc>
      </w:tr>
      <w:tr w14:paraId="2D8513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1553" w:type="dxa"/>
            <w:vAlign w:val="center"/>
          </w:tcPr>
          <w:p w14:paraId="15C24173">
            <w:pPr>
              <w:rPr>
                <w:rFonts w:ascii="宋体" w:hAnsi="宋体"/>
                <w:sz w:val="24"/>
              </w:rPr>
            </w:pPr>
          </w:p>
        </w:tc>
        <w:tc>
          <w:tcPr>
            <w:tcW w:w="2009" w:type="dxa"/>
            <w:vAlign w:val="center"/>
          </w:tcPr>
          <w:p w14:paraId="56DEA2CE">
            <w:pPr>
              <w:rPr>
                <w:rFonts w:ascii="宋体" w:hAnsi="宋体"/>
                <w:sz w:val="24"/>
              </w:rPr>
            </w:pPr>
          </w:p>
        </w:tc>
        <w:tc>
          <w:tcPr>
            <w:tcW w:w="1276" w:type="dxa"/>
            <w:vAlign w:val="center"/>
          </w:tcPr>
          <w:p w14:paraId="044BA459">
            <w:pPr>
              <w:rPr>
                <w:rFonts w:ascii="宋体" w:hAnsi="宋体"/>
                <w:sz w:val="24"/>
              </w:rPr>
            </w:pPr>
          </w:p>
        </w:tc>
        <w:tc>
          <w:tcPr>
            <w:tcW w:w="1276" w:type="dxa"/>
            <w:vAlign w:val="center"/>
          </w:tcPr>
          <w:p w14:paraId="1D315765">
            <w:pPr>
              <w:rPr>
                <w:rFonts w:ascii="宋体" w:hAnsi="宋体"/>
                <w:sz w:val="24"/>
              </w:rPr>
            </w:pPr>
          </w:p>
        </w:tc>
        <w:tc>
          <w:tcPr>
            <w:tcW w:w="1857" w:type="dxa"/>
            <w:vAlign w:val="center"/>
          </w:tcPr>
          <w:p w14:paraId="58B7FB1E">
            <w:pPr>
              <w:rPr>
                <w:rFonts w:ascii="宋体" w:hAnsi="宋体"/>
                <w:sz w:val="24"/>
              </w:rPr>
            </w:pPr>
          </w:p>
        </w:tc>
      </w:tr>
      <w:tr w14:paraId="5E1A9F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1553" w:type="dxa"/>
            <w:vAlign w:val="center"/>
          </w:tcPr>
          <w:p w14:paraId="715432BE">
            <w:pPr>
              <w:rPr>
                <w:rFonts w:ascii="宋体" w:hAnsi="宋体"/>
                <w:sz w:val="24"/>
              </w:rPr>
            </w:pPr>
          </w:p>
        </w:tc>
        <w:tc>
          <w:tcPr>
            <w:tcW w:w="2009" w:type="dxa"/>
            <w:vAlign w:val="center"/>
          </w:tcPr>
          <w:p w14:paraId="0A57E508">
            <w:pPr>
              <w:rPr>
                <w:rFonts w:ascii="宋体" w:hAnsi="宋体"/>
                <w:sz w:val="24"/>
              </w:rPr>
            </w:pPr>
          </w:p>
        </w:tc>
        <w:tc>
          <w:tcPr>
            <w:tcW w:w="1276" w:type="dxa"/>
            <w:vAlign w:val="center"/>
          </w:tcPr>
          <w:p w14:paraId="64C967FB">
            <w:pPr>
              <w:rPr>
                <w:rFonts w:ascii="宋体" w:hAnsi="宋体"/>
                <w:sz w:val="24"/>
              </w:rPr>
            </w:pPr>
          </w:p>
        </w:tc>
        <w:tc>
          <w:tcPr>
            <w:tcW w:w="1276" w:type="dxa"/>
            <w:vAlign w:val="center"/>
          </w:tcPr>
          <w:p w14:paraId="536FAB2B">
            <w:pPr>
              <w:rPr>
                <w:rFonts w:ascii="宋体" w:hAnsi="宋体"/>
                <w:sz w:val="24"/>
              </w:rPr>
            </w:pPr>
          </w:p>
        </w:tc>
        <w:tc>
          <w:tcPr>
            <w:tcW w:w="1857" w:type="dxa"/>
            <w:vAlign w:val="center"/>
          </w:tcPr>
          <w:p w14:paraId="6B8E7EA4">
            <w:pPr>
              <w:rPr>
                <w:rFonts w:ascii="宋体" w:hAnsi="宋体"/>
                <w:sz w:val="24"/>
              </w:rPr>
            </w:pPr>
          </w:p>
        </w:tc>
      </w:tr>
      <w:tr w14:paraId="12CB46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1553" w:type="dxa"/>
            <w:vAlign w:val="center"/>
          </w:tcPr>
          <w:p w14:paraId="1D3C0509">
            <w:pPr>
              <w:jc w:val="center"/>
              <w:rPr>
                <w:rFonts w:ascii="宋体" w:hAnsi="宋体"/>
                <w:sz w:val="24"/>
              </w:rPr>
            </w:pPr>
          </w:p>
        </w:tc>
        <w:tc>
          <w:tcPr>
            <w:tcW w:w="2009" w:type="dxa"/>
            <w:vAlign w:val="center"/>
          </w:tcPr>
          <w:p w14:paraId="420B1D95">
            <w:pPr>
              <w:jc w:val="center"/>
              <w:rPr>
                <w:rFonts w:ascii="宋体" w:hAnsi="宋体"/>
                <w:sz w:val="24"/>
              </w:rPr>
            </w:pPr>
          </w:p>
        </w:tc>
        <w:tc>
          <w:tcPr>
            <w:tcW w:w="1276" w:type="dxa"/>
            <w:vAlign w:val="center"/>
          </w:tcPr>
          <w:p w14:paraId="0323E5D0">
            <w:pPr>
              <w:jc w:val="center"/>
              <w:rPr>
                <w:rFonts w:ascii="宋体" w:hAnsi="宋体"/>
                <w:sz w:val="24"/>
              </w:rPr>
            </w:pPr>
          </w:p>
        </w:tc>
        <w:tc>
          <w:tcPr>
            <w:tcW w:w="1276" w:type="dxa"/>
            <w:vAlign w:val="center"/>
          </w:tcPr>
          <w:p w14:paraId="73281964">
            <w:pPr>
              <w:jc w:val="center"/>
              <w:rPr>
                <w:rFonts w:ascii="宋体" w:hAnsi="宋体"/>
                <w:sz w:val="24"/>
              </w:rPr>
            </w:pPr>
          </w:p>
        </w:tc>
        <w:tc>
          <w:tcPr>
            <w:tcW w:w="1857" w:type="dxa"/>
            <w:vAlign w:val="center"/>
          </w:tcPr>
          <w:p w14:paraId="2E100EDD">
            <w:pPr>
              <w:jc w:val="center"/>
              <w:rPr>
                <w:rFonts w:ascii="宋体" w:hAnsi="宋体"/>
                <w:sz w:val="24"/>
              </w:rPr>
            </w:pPr>
          </w:p>
        </w:tc>
      </w:tr>
      <w:tr w14:paraId="2A6A59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1553" w:type="dxa"/>
            <w:vAlign w:val="center"/>
          </w:tcPr>
          <w:p w14:paraId="43F406B7">
            <w:pPr>
              <w:jc w:val="center"/>
              <w:rPr>
                <w:rFonts w:ascii="宋体" w:hAnsi="宋体"/>
                <w:sz w:val="24"/>
              </w:rPr>
            </w:pPr>
          </w:p>
        </w:tc>
        <w:tc>
          <w:tcPr>
            <w:tcW w:w="2009" w:type="dxa"/>
            <w:vAlign w:val="center"/>
          </w:tcPr>
          <w:p w14:paraId="0509C0C6">
            <w:pPr>
              <w:jc w:val="center"/>
              <w:rPr>
                <w:rFonts w:ascii="宋体" w:hAnsi="宋体"/>
                <w:sz w:val="24"/>
              </w:rPr>
            </w:pPr>
          </w:p>
        </w:tc>
        <w:tc>
          <w:tcPr>
            <w:tcW w:w="1276" w:type="dxa"/>
            <w:vAlign w:val="center"/>
          </w:tcPr>
          <w:p w14:paraId="4D84F9F7">
            <w:pPr>
              <w:jc w:val="center"/>
              <w:rPr>
                <w:rFonts w:ascii="宋体" w:hAnsi="宋体"/>
                <w:sz w:val="24"/>
              </w:rPr>
            </w:pPr>
          </w:p>
        </w:tc>
        <w:tc>
          <w:tcPr>
            <w:tcW w:w="1276" w:type="dxa"/>
            <w:vAlign w:val="center"/>
          </w:tcPr>
          <w:p w14:paraId="1DE33FDE">
            <w:pPr>
              <w:jc w:val="center"/>
              <w:rPr>
                <w:rFonts w:ascii="宋体" w:hAnsi="宋体"/>
                <w:sz w:val="24"/>
              </w:rPr>
            </w:pPr>
          </w:p>
        </w:tc>
        <w:tc>
          <w:tcPr>
            <w:tcW w:w="1857" w:type="dxa"/>
            <w:vAlign w:val="center"/>
          </w:tcPr>
          <w:p w14:paraId="5DB3FC4E">
            <w:pPr>
              <w:jc w:val="center"/>
              <w:rPr>
                <w:rFonts w:ascii="宋体" w:hAnsi="宋体"/>
                <w:sz w:val="24"/>
              </w:rPr>
            </w:pPr>
          </w:p>
        </w:tc>
      </w:tr>
      <w:tr w14:paraId="797EE4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1553" w:type="dxa"/>
            <w:vAlign w:val="center"/>
          </w:tcPr>
          <w:p w14:paraId="568B78D2">
            <w:pPr>
              <w:jc w:val="center"/>
              <w:rPr>
                <w:rFonts w:ascii="宋体" w:hAnsi="宋体"/>
                <w:sz w:val="24"/>
              </w:rPr>
            </w:pPr>
          </w:p>
        </w:tc>
        <w:tc>
          <w:tcPr>
            <w:tcW w:w="2009" w:type="dxa"/>
            <w:vAlign w:val="center"/>
          </w:tcPr>
          <w:p w14:paraId="79410D77">
            <w:pPr>
              <w:jc w:val="center"/>
              <w:rPr>
                <w:rFonts w:ascii="宋体" w:hAnsi="宋体"/>
                <w:sz w:val="24"/>
              </w:rPr>
            </w:pPr>
          </w:p>
        </w:tc>
        <w:tc>
          <w:tcPr>
            <w:tcW w:w="1276" w:type="dxa"/>
            <w:vAlign w:val="center"/>
          </w:tcPr>
          <w:p w14:paraId="10519ED5">
            <w:pPr>
              <w:jc w:val="center"/>
              <w:rPr>
                <w:rFonts w:ascii="宋体" w:hAnsi="宋体"/>
                <w:sz w:val="24"/>
              </w:rPr>
            </w:pPr>
          </w:p>
        </w:tc>
        <w:tc>
          <w:tcPr>
            <w:tcW w:w="1276" w:type="dxa"/>
            <w:vAlign w:val="center"/>
          </w:tcPr>
          <w:p w14:paraId="4E48C343">
            <w:pPr>
              <w:jc w:val="center"/>
              <w:rPr>
                <w:rFonts w:ascii="宋体" w:hAnsi="宋体"/>
                <w:sz w:val="24"/>
              </w:rPr>
            </w:pPr>
          </w:p>
        </w:tc>
        <w:tc>
          <w:tcPr>
            <w:tcW w:w="1857" w:type="dxa"/>
            <w:vAlign w:val="center"/>
          </w:tcPr>
          <w:p w14:paraId="2E61007D">
            <w:pPr>
              <w:jc w:val="center"/>
              <w:rPr>
                <w:rFonts w:ascii="宋体" w:hAnsi="宋体"/>
                <w:sz w:val="24"/>
              </w:rPr>
            </w:pPr>
          </w:p>
        </w:tc>
      </w:tr>
      <w:tr w14:paraId="136B8D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1553" w:type="dxa"/>
            <w:vAlign w:val="center"/>
          </w:tcPr>
          <w:p w14:paraId="3749A7EF">
            <w:pPr>
              <w:jc w:val="center"/>
              <w:rPr>
                <w:rFonts w:ascii="宋体" w:hAnsi="宋体"/>
                <w:sz w:val="24"/>
              </w:rPr>
            </w:pPr>
          </w:p>
        </w:tc>
        <w:tc>
          <w:tcPr>
            <w:tcW w:w="2009" w:type="dxa"/>
            <w:vAlign w:val="center"/>
          </w:tcPr>
          <w:p w14:paraId="1FCE9869">
            <w:pPr>
              <w:jc w:val="center"/>
              <w:rPr>
                <w:rFonts w:ascii="宋体" w:hAnsi="宋体"/>
                <w:sz w:val="24"/>
              </w:rPr>
            </w:pPr>
          </w:p>
        </w:tc>
        <w:tc>
          <w:tcPr>
            <w:tcW w:w="1276" w:type="dxa"/>
            <w:vAlign w:val="center"/>
          </w:tcPr>
          <w:p w14:paraId="38491447">
            <w:pPr>
              <w:jc w:val="center"/>
              <w:rPr>
                <w:rFonts w:ascii="宋体" w:hAnsi="宋体"/>
                <w:sz w:val="24"/>
              </w:rPr>
            </w:pPr>
          </w:p>
        </w:tc>
        <w:tc>
          <w:tcPr>
            <w:tcW w:w="1276" w:type="dxa"/>
            <w:vAlign w:val="center"/>
          </w:tcPr>
          <w:p w14:paraId="7F6F3889">
            <w:pPr>
              <w:jc w:val="center"/>
              <w:rPr>
                <w:rFonts w:ascii="宋体" w:hAnsi="宋体"/>
                <w:sz w:val="24"/>
              </w:rPr>
            </w:pPr>
          </w:p>
        </w:tc>
        <w:tc>
          <w:tcPr>
            <w:tcW w:w="1857" w:type="dxa"/>
            <w:vAlign w:val="center"/>
          </w:tcPr>
          <w:p w14:paraId="196CC9A8">
            <w:pPr>
              <w:jc w:val="center"/>
              <w:rPr>
                <w:rFonts w:ascii="宋体" w:hAnsi="宋体"/>
                <w:sz w:val="24"/>
              </w:rPr>
            </w:pPr>
          </w:p>
        </w:tc>
      </w:tr>
      <w:tr w14:paraId="013318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3562" w:type="dxa"/>
            <w:gridSpan w:val="2"/>
            <w:vAlign w:val="center"/>
          </w:tcPr>
          <w:p w14:paraId="7C83B101">
            <w:pPr>
              <w:jc w:val="center"/>
              <w:rPr>
                <w:rFonts w:ascii="宋体" w:hAnsi="宋体"/>
                <w:sz w:val="24"/>
              </w:rPr>
            </w:pPr>
            <w:r>
              <w:rPr>
                <w:rFonts w:hint="eastAsia" w:ascii="宋体" w:hAnsi="宋体"/>
                <w:sz w:val="24"/>
              </w:rPr>
              <w:t>总报价（不含税）</w:t>
            </w:r>
          </w:p>
        </w:tc>
        <w:tc>
          <w:tcPr>
            <w:tcW w:w="4409" w:type="dxa"/>
            <w:gridSpan w:val="3"/>
            <w:vAlign w:val="center"/>
          </w:tcPr>
          <w:p w14:paraId="491FBF39">
            <w:pPr>
              <w:jc w:val="center"/>
              <w:rPr>
                <w:rFonts w:ascii="宋体" w:hAnsi="宋体"/>
                <w:sz w:val="24"/>
              </w:rPr>
            </w:pPr>
          </w:p>
        </w:tc>
      </w:tr>
    </w:tbl>
    <w:p w14:paraId="3A2FF09D">
      <w:pPr>
        <w:rPr>
          <w:rFonts w:ascii="宋体" w:hAnsi="宋体"/>
          <w:b/>
          <w:sz w:val="24"/>
        </w:rPr>
      </w:pPr>
    </w:p>
    <w:p w14:paraId="1788DDF9">
      <w:pPr>
        <w:rPr>
          <w:rFonts w:ascii="宋体" w:hAnsi="宋体"/>
          <w:sz w:val="24"/>
        </w:rPr>
      </w:pPr>
      <w:r>
        <w:rPr>
          <w:rFonts w:hint="eastAsia" w:ascii="宋体" w:hAnsi="宋体"/>
          <w:sz w:val="24"/>
        </w:rPr>
        <w:t xml:space="preserve"> </w:t>
      </w:r>
      <w:r>
        <w:rPr>
          <w:rFonts w:ascii="宋体" w:hAnsi="宋体"/>
          <w:sz w:val="24"/>
        </w:rPr>
        <w:t xml:space="preserve">       </w:t>
      </w:r>
      <w:r>
        <w:rPr>
          <w:rFonts w:hint="eastAsia" w:ascii="宋体" w:hAnsi="宋体"/>
          <w:sz w:val="24"/>
        </w:rPr>
        <w:t>投标人名称：                   授权代表签字：            日期：</w:t>
      </w:r>
    </w:p>
    <w:p w14:paraId="4C810468">
      <w:pPr>
        <w:rPr>
          <w:rFonts w:ascii="宋体" w:hAnsi="宋体"/>
          <w:sz w:val="24"/>
        </w:rPr>
      </w:pPr>
    </w:p>
    <w:p w14:paraId="575743A7">
      <w:pPr>
        <w:rPr>
          <w:rFonts w:ascii="宋体" w:hAnsi="宋体"/>
          <w:sz w:val="24"/>
        </w:rPr>
      </w:pPr>
      <w:r>
        <w:rPr>
          <w:rFonts w:hint="eastAsia" w:ascii="宋体" w:hAnsi="宋体"/>
          <w:sz w:val="24"/>
        </w:rPr>
        <w:t>注： 1</w:t>
      </w:r>
      <w:r>
        <w:rPr>
          <w:rFonts w:ascii="宋体" w:hAnsi="宋体"/>
          <w:sz w:val="24"/>
        </w:rPr>
        <w:t>.</w:t>
      </w:r>
      <w:r>
        <w:rPr>
          <w:rFonts w:hint="eastAsia" w:ascii="宋体" w:hAnsi="宋体"/>
          <w:sz w:val="24"/>
        </w:rPr>
        <w:t>请按照《技术协议书》中技术参数内容填写报价，可增项、不可缺项。</w:t>
      </w:r>
    </w:p>
    <w:p w14:paraId="668DE681">
      <w:pPr>
        <w:ind w:firstLine="600" w:firstLineChars="250"/>
        <w:rPr>
          <w:rFonts w:ascii="宋体" w:hAnsi="宋体"/>
          <w:sz w:val="24"/>
        </w:rPr>
      </w:pPr>
      <w:r>
        <w:rPr>
          <w:rFonts w:hint="eastAsia" w:ascii="宋体" w:hAnsi="宋体"/>
          <w:sz w:val="24"/>
        </w:rPr>
        <w:t>2.投标总价为各投标物品的合计单项价之和。</w:t>
      </w:r>
    </w:p>
    <w:p w14:paraId="18B39EDA">
      <w:pPr>
        <w:ind w:firstLine="600" w:firstLineChars="250"/>
        <w:rPr>
          <w:rFonts w:ascii="宋体" w:hAnsi="宋体"/>
          <w:sz w:val="24"/>
        </w:rPr>
      </w:pPr>
      <w:r>
        <w:rPr>
          <w:rFonts w:hint="eastAsia" w:ascii="宋体" w:hAnsi="宋体"/>
          <w:sz w:val="24"/>
        </w:rPr>
        <w:t>3.本表用于开标宣读用，请单独封存。</w:t>
      </w:r>
    </w:p>
    <w:p w14:paraId="762ED75B">
      <w:pPr>
        <w:ind w:firstLine="480"/>
        <w:rPr>
          <w:rFonts w:ascii="宋体" w:hAnsi="宋体"/>
          <w:b/>
          <w:color w:val="FF0000"/>
          <w:sz w:val="24"/>
        </w:rPr>
      </w:pPr>
    </w:p>
    <w:p w14:paraId="3D5F67A8">
      <w:pPr>
        <w:rPr>
          <w:rFonts w:ascii="宋体" w:hAnsi="宋体"/>
          <w:b/>
          <w:color w:val="FF0000"/>
          <w:sz w:val="24"/>
        </w:rPr>
      </w:pPr>
    </w:p>
    <w:p w14:paraId="11FBDE6B">
      <w:pPr>
        <w:spacing w:after="156" w:afterLines="50"/>
        <w:jc w:val="left"/>
        <w:rPr>
          <w:rFonts w:ascii="仿宋_GB2312" w:hAnsi="Calibri" w:eastAsia="仿宋_GB2312"/>
          <w:sz w:val="32"/>
          <w:szCs w:val="32"/>
        </w:rPr>
      </w:pPr>
    </w:p>
    <w:p w14:paraId="1334622D">
      <w:pPr>
        <w:pStyle w:val="2"/>
      </w:pPr>
    </w:p>
    <w:p w14:paraId="474214B0">
      <w:pPr>
        <w:rPr>
          <w:rFonts w:ascii="宋体" w:hAnsi="宋体"/>
          <w:sz w:val="24"/>
        </w:rPr>
      </w:pPr>
      <w:bookmarkStart w:id="17" w:name="_Toc8241"/>
      <w:r>
        <w:rPr>
          <w:rFonts w:hint="eastAsia" w:ascii="宋体" w:hAnsi="宋体"/>
          <w:sz w:val="24"/>
        </w:rPr>
        <w:t>附件4</w:t>
      </w:r>
      <w:bookmarkEnd w:id="17"/>
    </w:p>
    <w:p w14:paraId="62FFC8F7">
      <w:pPr>
        <w:jc w:val="center"/>
        <w:rPr>
          <w:rFonts w:eastAsia="黑体"/>
          <w:b/>
          <w:bCs/>
          <w:sz w:val="28"/>
        </w:rPr>
      </w:pPr>
      <w:r>
        <w:rPr>
          <w:rFonts w:hint="eastAsia" w:eastAsia="黑体"/>
          <w:b/>
          <w:bCs/>
          <w:sz w:val="28"/>
        </w:rPr>
        <w:t>偏离表</w:t>
      </w:r>
    </w:p>
    <w:tbl>
      <w:tblPr>
        <w:tblStyle w:val="18"/>
        <w:tblW w:w="852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080"/>
        <w:gridCol w:w="2891"/>
        <w:gridCol w:w="1110"/>
        <w:gridCol w:w="2613"/>
      </w:tblGrid>
      <w:tr w14:paraId="071DEB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vAlign w:val="center"/>
          </w:tcPr>
          <w:p w14:paraId="654F1458">
            <w:pPr>
              <w:jc w:val="center"/>
              <w:rPr>
                <w:rFonts w:ascii="宋体" w:hAnsi="宋体"/>
                <w:sz w:val="24"/>
              </w:rPr>
            </w:pPr>
            <w:r>
              <w:rPr>
                <w:rFonts w:hint="eastAsia" w:ascii="宋体" w:hAnsi="宋体"/>
                <w:sz w:val="24"/>
              </w:rPr>
              <w:t>序号</w:t>
            </w:r>
          </w:p>
        </w:tc>
        <w:tc>
          <w:tcPr>
            <w:tcW w:w="3971" w:type="dxa"/>
            <w:gridSpan w:val="2"/>
            <w:vAlign w:val="center"/>
          </w:tcPr>
          <w:p w14:paraId="0141FB7D">
            <w:pPr>
              <w:jc w:val="center"/>
              <w:rPr>
                <w:rFonts w:ascii="宋体" w:hAnsi="宋体"/>
                <w:sz w:val="24"/>
              </w:rPr>
            </w:pPr>
            <w:r>
              <w:rPr>
                <w:rFonts w:hint="eastAsia" w:ascii="宋体" w:hAnsi="宋体"/>
                <w:sz w:val="24"/>
              </w:rPr>
              <w:t>招标文件条款</w:t>
            </w:r>
          </w:p>
        </w:tc>
        <w:tc>
          <w:tcPr>
            <w:tcW w:w="3723" w:type="dxa"/>
            <w:gridSpan w:val="2"/>
            <w:vAlign w:val="center"/>
          </w:tcPr>
          <w:p w14:paraId="61C782D6">
            <w:pPr>
              <w:jc w:val="center"/>
              <w:rPr>
                <w:rFonts w:ascii="宋体" w:hAnsi="宋体"/>
                <w:sz w:val="24"/>
              </w:rPr>
            </w:pPr>
            <w:r>
              <w:rPr>
                <w:rFonts w:hint="eastAsia" w:ascii="宋体" w:hAnsi="宋体"/>
                <w:sz w:val="24"/>
              </w:rPr>
              <w:t>投标书条款</w:t>
            </w:r>
          </w:p>
        </w:tc>
      </w:tr>
      <w:tr w14:paraId="3B35EB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vAlign w:val="center"/>
          </w:tcPr>
          <w:p w14:paraId="7C2374B2">
            <w:pPr>
              <w:rPr>
                <w:rFonts w:ascii="宋体" w:hAnsi="宋体"/>
                <w:sz w:val="24"/>
              </w:rPr>
            </w:pPr>
          </w:p>
        </w:tc>
        <w:tc>
          <w:tcPr>
            <w:tcW w:w="1080" w:type="dxa"/>
            <w:vAlign w:val="center"/>
          </w:tcPr>
          <w:p w14:paraId="651B1000">
            <w:pPr>
              <w:jc w:val="center"/>
              <w:rPr>
                <w:rFonts w:ascii="宋体" w:hAnsi="宋体"/>
                <w:sz w:val="24"/>
              </w:rPr>
            </w:pPr>
          </w:p>
        </w:tc>
        <w:tc>
          <w:tcPr>
            <w:tcW w:w="2891" w:type="dxa"/>
            <w:vAlign w:val="center"/>
          </w:tcPr>
          <w:p w14:paraId="313B5488">
            <w:pPr>
              <w:jc w:val="center"/>
              <w:rPr>
                <w:rFonts w:ascii="宋体" w:hAnsi="宋体"/>
                <w:sz w:val="24"/>
              </w:rPr>
            </w:pPr>
            <w:r>
              <w:rPr>
                <w:rFonts w:hint="eastAsia" w:ascii="宋体" w:hAnsi="宋体"/>
                <w:sz w:val="24"/>
              </w:rPr>
              <w:t>偏离</w:t>
            </w:r>
          </w:p>
        </w:tc>
        <w:tc>
          <w:tcPr>
            <w:tcW w:w="1110" w:type="dxa"/>
            <w:vAlign w:val="center"/>
          </w:tcPr>
          <w:p w14:paraId="6A7C4261">
            <w:pPr>
              <w:jc w:val="center"/>
              <w:rPr>
                <w:rFonts w:ascii="宋体" w:hAnsi="宋体"/>
                <w:sz w:val="24"/>
              </w:rPr>
            </w:pPr>
          </w:p>
        </w:tc>
        <w:tc>
          <w:tcPr>
            <w:tcW w:w="2613" w:type="dxa"/>
            <w:vAlign w:val="center"/>
          </w:tcPr>
          <w:p w14:paraId="2A37D9D7">
            <w:pPr>
              <w:jc w:val="center"/>
              <w:rPr>
                <w:rFonts w:ascii="宋体" w:hAnsi="宋体"/>
                <w:sz w:val="24"/>
              </w:rPr>
            </w:pPr>
            <w:r>
              <w:rPr>
                <w:rFonts w:hint="eastAsia" w:ascii="宋体" w:hAnsi="宋体"/>
                <w:sz w:val="24"/>
              </w:rPr>
              <w:t>偏离</w:t>
            </w:r>
          </w:p>
        </w:tc>
      </w:tr>
      <w:tr w14:paraId="4A76E2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1470FD98">
            <w:pPr>
              <w:jc w:val="center"/>
              <w:rPr>
                <w:rFonts w:ascii="宋体" w:hAnsi="宋体"/>
                <w:sz w:val="24"/>
              </w:rPr>
            </w:pPr>
            <w:r>
              <w:rPr>
                <w:rFonts w:hint="eastAsia" w:ascii="宋体" w:hAnsi="宋体"/>
                <w:sz w:val="24"/>
              </w:rPr>
              <w:t>1</w:t>
            </w:r>
          </w:p>
        </w:tc>
        <w:tc>
          <w:tcPr>
            <w:tcW w:w="1080" w:type="dxa"/>
            <w:vAlign w:val="center"/>
          </w:tcPr>
          <w:p w14:paraId="3D8CCFDE">
            <w:pPr>
              <w:rPr>
                <w:rFonts w:ascii="宋体" w:hAnsi="宋体"/>
                <w:sz w:val="24"/>
              </w:rPr>
            </w:pPr>
          </w:p>
        </w:tc>
        <w:tc>
          <w:tcPr>
            <w:tcW w:w="2891" w:type="dxa"/>
            <w:vAlign w:val="center"/>
          </w:tcPr>
          <w:p w14:paraId="5535B14E">
            <w:pPr>
              <w:rPr>
                <w:rFonts w:ascii="宋体" w:hAnsi="宋体"/>
                <w:sz w:val="24"/>
              </w:rPr>
            </w:pPr>
          </w:p>
        </w:tc>
        <w:tc>
          <w:tcPr>
            <w:tcW w:w="1110" w:type="dxa"/>
            <w:vAlign w:val="center"/>
          </w:tcPr>
          <w:p w14:paraId="0AEC4CFA">
            <w:pPr>
              <w:rPr>
                <w:rFonts w:ascii="宋体" w:hAnsi="宋体"/>
                <w:sz w:val="24"/>
              </w:rPr>
            </w:pPr>
          </w:p>
        </w:tc>
        <w:tc>
          <w:tcPr>
            <w:tcW w:w="2613" w:type="dxa"/>
            <w:vAlign w:val="center"/>
          </w:tcPr>
          <w:p w14:paraId="7B556060">
            <w:pPr>
              <w:rPr>
                <w:rFonts w:ascii="宋体" w:hAnsi="宋体"/>
                <w:sz w:val="24"/>
              </w:rPr>
            </w:pPr>
          </w:p>
        </w:tc>
      </w:tr>
      <w:tr w14:paraId="118E60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08C93958">
            <w:pPr>
              <w:jc w:val="center"/>
              <w:rPr>
                <w:rFonts w:ascii="宋体" w:hAnsi="宋体"/>
                <w:sz w:val="24"/>
              </w:rPr>
            </w:pPr>
            <w:r>
              <w:rPr>
                <w:rFonts w:hint="eastAsia" w:ascii="宋体" w:hAnsi="宋体"/>
                <w:sz w:val="24"/>
              </w:rPr>
              <w:t>2</w:t>
            </w:r>
          </w:p>
        </w:tc>
        <w:tc>
          <w:tcPr>
            <w:tcW w:w="1080" w:type="dxa"/>
            <w:vAlign w:val="center"/>
          </w:tcPr>
          <w:p w14:paraId="10D0D6A9">
            <w:pPr>
              <w:rPr>
                <w:rFonts w:ascii="宋体" w:hAnsi="宋体"/>
                <w:sz w:val="24"/>
              </w:rPr>
            </w:pPr>
          </w:p>
        </w:tc>
        <w:tc>
          <w:tcPr>
            <w:tcW w:w="2891" w:type="dxa"/>
            <w:vAlign w:val="center"/>
          </w:tcPr>
          <w:p w14:paraId="09AB2E35">
            <w:pPr>
              <w:rPr>
                <w:rFonts w:ascii="宋体" w:hAnsi="宋体"/>
                <w:sz w:val="24"/>
              </w:rPr>
            </w:pPr>
          </w:p>
        </w:tc>
        <w:tc>
          <w:tcPr>
            <w:tcW w:w="1110" w:type="dxa"/>
            <w:vAlign w:val="center"/>
          </w:tcPr>
          <w:p w14:paraId="6AC5CA73">
            <w:pPr>
              <w:rPr>
                <w:rFonts w:ascii="宋体" w:hAnsi="宋体"/>
                <w:sz w:val="24"/>
              </w:rPr>
            </w:pPr>
          </w:p>
        </w:tc>
        <w:tc>
          <w:tcPr>
            <w:tcW w:w="2613" w:type="dxa"/>
            <w:vAlign w:val="center"/>
          </w:tcPr>
          <w:p w14:paraId="13D17D0B">
            <w:pPr>
              <w:rPr>
                <w:rFonts w:ascii="宋体" w:hAnsi="宋体"/>
                <w:sz w:val="24"/>
              </w:rPr>
            </w:pPr>
          </w:p>
        </w:tc>
      </w:tr>
      <w:tr w14:paraId="1E4F7A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0B9F1F92">
            <w:pPr>
              <w:jc w:val="center"/>
              <w:rPr>
                <w:rFonts w:ascii="宋体" w:hAnsi="宋体"/>
                <w:sz w:val="24"/>
              </w:rPr>
            </w:pPr>
            <w:r>
              <w:rPr>
                <w:rFonts w:hint="eastAsia" w:ascii="宋体" w:hAnsi="宋体"/>
                <w:sz w:val="24"/>
              </w:rPr>
              <w:t>3</w:t>
            </w:r>
          </w:p>
        </w:tc>
        <w:tc>
          <w:tcPr>
            <w:tcW w:w="1080" w:type="dxa"/>
            <w:vAlign w:val="center"/>
          </w:tcPr>
          <w:p w14:paraId="0140BCAE">
            <w:pPr>
              <w:rPr>
                <w:rFonts w:ascii="宋体" w:hAnsi="宋体"/>
                <w:sz w:val="24"/>
              </w:rPr>
            </w:pPr>
          </w:p>
        </w:tc>
        <w:tc>
          <w:tcPr>
            <w:tcW w:w="2891" w:type="dxa"/>
            <w:vAlign w:val="center"/>
          </w:tcPr>
          <w:p w14:paraId="14434B0B">
            <w:pPr>
              <w:rPr>
                <w:rFonts w:ascii="宋体" w:hAnsi="宋体"/>
                <w:sz w:val="24"/>
              </w:rPr>
            </w:pPr>
          </w:p>
        </w:tc>
        <w:tc>
          <w:tcPr>
            <w:tcW w:w="1110" w:type="dxa"/>
            <w:vAlign w:val="center"/>
          </w:tcPr>
          <w:p w14:paraId="4931C711">
            <w:pPr>
              <w:rPr>
                <w:rFonts w:ascii="宋体" w:hAnsi="宋体"/>
                <w:sz w:val="24"/>
              </w:rPr>
            </w:pPr>
          </w:p>
        </w:tc>
        <w:tc>
          <w:tcPr>
            <w:tcW w:w="2613" w:type="dxa"/>
            <w:vAlign w:val="center"/>
          </w:tcPr>
          <w:p w14:paraId="1CBDBF89">
            <w:pPr>
              <w:rPr>
                <w:rFonts w:ascii="宋体" w:hAnsi="宋体"/>
                <w:sz w:val="24"/>
              </w:rPr>
            </w:pPr>
          </w:p>
        </w:tc>
      </w:tr>
      <w:tr w14:paraId="7F8CA3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7A0A9936">
            <w:pPr>
              <w:jc w:val="center"/>
              <w:rPr>
                <w:rFonts w:ascii="宋体" w:hAnsi="宋体"/>
                <w:sz w:val="24"/>
              </w:rPr>
            </w:pPr>
            <w:r>
              <w:rPr>
                <w:rFonts w:hint="eastAsia" w:ascii="宋体" w:hAnsi="宋体"/>
                <w:sz w:val="24"/>
              </w:rPr>
              <w:t>4</w:t>
            </w:r>
          </w:p>
        </w:tc>
        <w:tc>
          <w:tcPr>
            <w:tcW w:w="1080" w:type="dxa"/>
            <w:vAlign w:val="center"/>
          </w:tcPr>
          <w:p w14:paraId="6606ABEE">
            <w:pPr>
              <w:rPr>
                <w:rFonts w:ascii="宋体" w:hAnsi="宋体"/>
                <w:sz w:val="24"/>
              </w:rPr>
            </w:pPr>
          </w:p>
        </w:tc>
        <w:tc>
          <w:tcPr>
            <w:tcW w:w="2891" w:type="dxa"/>
            <w:vAlign w:val="center"/>
          </w:tcPr>
          <w:p w14:paraId="0A287129">
            <w:pPr>
              <w:rPr>
                <w:rFonts w:ascii="宋体" w:hAnsi="宋体"/>
                <w:sz w:val="24"/>
              </w:rPr>
            </w:pPr>
          </w:p>
        </w:tc>
        <w:tc>
          <w:tcPr>
            <w:tcW w:w="1110" w:type="dxa"/>
            <w:vAlign w:val="center"/>
          </w:tcPr>
          <w:p w14:paraId="5D23A895">
            <w:pPr>
              <w:rPr>
                <w:rFonts w:ascii="宋体" w:hAnsi="宋体"/>
                <w:sz w:val="24"/>
              </w:rPr>
            </w:pPr>
          </w:p>
        </w:tc>
        <w:tc>
          <w:tcPr>
            <w:tcW w:w="2613" w:type="dxa"/>
            <w:vAlign w:val="center"/>
          </w:tcPr>
          <w:p w14:paraId="5CF8245B">
            <w:pPr>
              <w:rPr>
                <w:rFonts w:ascii="宋体" w:hAnsi="宋体"/>
                <w:sz w:val="24"/>
              </w:rPr>
            </w:pPr>
          </w:p>
        </w:tc>
      </w:tr>
      <w:tr w14:paraId="686D46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3F590B0B">
            <w:pPr>
              <w:jc w:val="center"/>
              <w:rPr>
                <w:rFonts w:ascii="宋体" w:hAnsi="宋体"/>
                <w:sz w:val="24"/>
              </w:rPr>
            </w:pPr>
            <w:r>
              <w:rPr>
                <w:rFonts w:hint="eastAsia" w:ascii="宋体" w:hAnsi="宋体"/>
                <w:sz w:val="24"/>
              </w:rPr>
              <w:t>5</w:t>
            </w:r>
          </w:p>
        </w:tc>
        <w:tc>
          <w:tcPr>
            <w:tcW w:w="1080" w:type="dxa"/>
            <w:vAlign w:val="center"/>
          </w:tcPr>
          <w:p w14:paraId="261D6AF6">
            <w:pPr>
              <w:rPr>
                <w:rFonts w:ascii="宋体" w:hAnsi="宋体"/>
                <w:sz w:val="24"/>
              </w:rPr>
            </w:pPr>
          </w:p>
        </w:tc>
        <w:tc>
          <w:tcPr>
            <w:tcW w:w="2891" w:type="dxa"/>
            <w:vAlign w:val="center"/>
          </w:tcPr>
          <w:p w14:paraId="2B39C9A8">
            <w:pPr>
              <w:rPr>
                <w:rFonts w:ascii="宋体" w:hAnsi="宋体"/>
                <w:sz w:val="24"/>
              </w:rPr>
            </w:pPr>
          </w:p>
        </w:tc>
        <w:tc>
          <w:tcPr>
            <w:tcW w:w="1110" w:type="dxa"/>
            <w:vAlign w:val="center"/>
          </w:tcPr>
          <w:p w14:paraId="7B9F7B1F">
            <w:pPr>
              <w:rPr>
                <w:rFonts w:ascii="宋体" w:hAnsi="宋体"/>
                <w:sz w:val="24"/>
              </w:rPr>
            </w:pPr>
          </w:p>
        </w:tc>
        <w:tc>
          <w:tcPr>
            <w:tcW w:w="2613" w:type="dxa"/>
            <w:vAlign w:val="center"/>
          </w:tcPr>
          <w:p w14:paraId="3BB41574">
            <w:pPr>
              <w:rPr>
                <w:rFonts w:ascii="宋体" w:hAnsi="宋体"/>
                <w:sz w:val="24"/>
              </w:rPr>
            </w:pPr>
          </w:p>
        </w:tc>
      </w:tr>
      <w:tr w14:paraId="646323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46F8ACC3">
            <w:pPr>
              <w:jc w:val="center"/>
              <w:rPr>
                <w:rFonts w:ascii="宋体" w:hAnsi="宋体"/>
                <w:sz w:val="24"/>
              </w:rPr>
            </w:pPr>
            <w:r>
              <w:rPr>
                <w:rFonts w:hint="eastAsia" w:ascii="宋体" w:hAnsi="宋体"/>
                <w:sz w:val="24"/>
              </w:rPr>
              <w:t>6</w:t>
            </w:r>
          </w:p>
        </w:tc>
        <w:tc>
          <w:tcPr>
            <w:tcW w:w="1080" w:type="dxa"/>
            <w:vAlign w:val="center"/>
          </w:tcPr>
          <w:p w14:paraId="7DC00F18">
            <w:pPr>
              <w:rPr>
                <w:rFonts w:ascii="宋体" w:hAnsi="宋体"/>
                <w:sz w:val="24"/>
              </w:rPr>
            </w:pPr>
          </w:p>
        </w:tc>
        <w:tc>
          <w:tcPr>
            <w:tcW w:w="2891" w:type="dxa"/>
            <w:vAlign w:val="center"/>
          </w:tcPr>
          <w:p w14:paraId="759C9B7D">
            <w:pPr>
              <w:rPr>
                <w:rFonts w:ascii="宋体" w:hAnsi="宋体"/>
                <w:sz w:val="24"/>
              </w:rPr>
            </w:pPr>
          </w:p>
        </w:tc>
        <w:tc>
          <w:tcPr>
            <w:tcW w:w="1110" w:type="dxa"/>
            <w:vAlign w:val="center"/>
          </w:tcPr>
          <w:p w14:paraId="08C5488A">
            <w:pPr>
              <w:rPr>
                <w:rFonts w:ascii="宋体" w:hAnsi="宋体"/>
                <w:sz w:val="24"/>
              </w:rPr>
            </w:pPr>
          </w:p>
        </w:tc>
        <w:tc>
          <w:tcPr>
            <w:tcW w:w="2613" w:type="dxa"/>
            <w:vAlign w:val="center"/>
          </w:tcPr>
          <w:p w14:paraId="22E7D061">
            <w:pPr>
              <w:rPr>
                <w:rFonts w:ascii="宋体" w:hAnsi="宋体"/>
                <w:sz w:val="24"/>
              </w:rPr>
            </w:pPr>
          </w:p>
        </w:tc>
      </w:tr>
      <w:tr w14:paraId="4B5791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1A5AC4E5">
            <w:pPr>
              <w:jc w:val="center"/>
              <w:rPr>
                <w:rFonts w:ascii="宋体" w:hAnsi="宋体"/>
                <w:sz w:val="24"/>
              </w:rPr>
            </w:pPr>
            <w:r>
              <w:rPr>
                <w:rFonts w:hint="eastAsia" w:ascii="宋体" w:hAnsi="宋体"/>
                <w:sz w:val="24"/>
              </w:rPr>
              <w:t>7</w:t>
            </w:r>
          </w:p>
        </w:tc>
        <w:tc>
          <w:tcPr>
            <w:tcW w:w="1080" w:type="dxa"/>
            <w:vAlign w:val="center"/>
          </w:tcPr>
          <w:p w14:paraId="6F457891">
            <w:pPr>
              <w:rPr>
                <w:rFonts w:ascii="宋体" w:hAnsi="宋体"/>
                <w:sz w:val="24"/>
              </w:rPr>
            </w:pPr>
          </w:p>
        </w:tc>
        <w:tc>
          <w:tcPr>
            <w:tcW w:w="2891" w:type="dxa"/>
            <w:vAlign w:val="center"/>
          </w:tcPr>
          <w:p w14:paraId="5060014E">
            <w:pPr>
              <w:rPr>
                <w:rFonts w:ascii="宋体" w:hAnsi="宋体"/>
                <w:sz w:val="24"/>
              </w:rPr>
            </w:pPr>
          </w:p>
        </w:tc>
        <w:tc>
          <w:tcPr>
            <w:tcW w:w="1110" w:type="dxa"/>
            <w:vAlign w:val="center"/>
          </w:tcPr>
          <w:p w14:paraId="759168BC">
            <w:pPr>
              <w:rPr>
                <w:rFonts w:ascii="宋体" w:hAnsi="宋体"/>
                <w:sz w:val="24"/>
              </w:rPr>
            </w:pPr>
          </w:p>
        </w:tc>
        <w:tc>
          <w:tcPr>
            <w:tcW w:w="2613" w:type="dxa"/>
            <w:vAlign w:val="center"/>
          </w:tcPr>
          <w:p w14:paraId="10DC97B1">
            <w:pPr>
              <w:rPr>
                <w:rFonts w:ascii="宋体" w:hAnsi="宋体"/>
                <w:sz w:val="24"/>
              </w:rPr>
            </w:pPr>
          </w:p>
        </w:tc>
      </w:tr>
      <w:tr w14:paraId="6278C7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652BD5AC">
            <w:pPr>
              <w:jc w:val="center"/>
              <w:rPr>
                <w:rFonts w:ascii="宋体" w:hAnsi="宋体"/>
                <w:sz w:val="24"/>
              </w:rPr>
            </w:pPr>
            <w:r>
              <w:rPr>
                <w:rFonts w:hint="eastAsia" w:ascii="宋体" w:hAnsi="宋体"/>
                <w:sz w:val="24"/>
              </w:rPr>
              <w:t>8</w:t>
            </w:r>
          </w:p>
        </w:tc>
        <w:tc>
          <w:tcPr>
            <w:tcW w:w="1080" w:type="dxa"/>
            <w:vAlign w:val="center"/>
          </w:tcPr>
          <w:p w14:paraId="28DF11B1">
            <w:pPr>
              <w:rPr>
                <w:rFonts w:ascii="宋体" w:hAnsi="宋体"/>
                <w:sz w:val="24"/>
              </w:rPr>
            </w:pPr>
          </w:p>
        </w:tc>
        <w:tc>
          <w:tcPr>
            <w:tcW w:w="2891" w:type="dxa"/>
            <w:vAlign w:val="center"/>
          </w:tcPr>
          <w:p w14:paraId="7265D7C8">
            <w:pPr>
              <w:rPr>
                <w:rFonts w:ascii="宋体" w:hAnsi="宋体"/>
                <w:sz w:val="24"/>
              </w:rPr>
            </w:pPr>
          </w:p>
        </w:tc>
        <w:tc>
          <w:tcPr>
            <w:tcW w:w="1110" w:type="dxa"/>
            <w:vAlign w:val="center"/>
          </w:tcPr>
          <w:p w14:paraId="2D26F04B">
            <w:pPr>
              <w:rPr>
                <w:rFonts w:ascii="宋体" w:hAnsi="宋体"/>
                <w:sz w:val="24"/>
              </w:rPr>
            </w:pPr>
          </w:p>
        </w:tc>
        <w:tc>
          <w:tcPr>
            <w:tcW w:w="2613" w:type="dxa"/>
            <w:vAlign w:val="center"/>
          </w:tcPr>
          <w:p w14:paraId="22636809">
            <w:pPr>
              <w:rPr>
                <w:rFonts w:ascii="宋体" w:hAnsi="宋体"/>
                <w:sz w:val="24"/>
              </w:rPr>
            </w:pPr>
          </w:p>
        </w:tc>
      </w:tr>
      <w:tr w14:paraId="6B586A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7002E0C1">
            <w:pPr>
              <w:jc w:val="center"/>
              <w:rPr>
                <w:rFonts w:ascii="宋体" w:hAnsi="宋体"/>
                <w:sz w:val="24"/>
              </w:rPr>
            </w:pPr>
            <w:r>
              <w:rPr>
                <w:rFonts w:hint="eastAsia" w:ascii="宋体" w:hAnsi="宋体"/>
                <w:sz w:val="24"/>
              </w:rPr>
              <w:t>9</w:t>
            </w:r>
          </w:p>
        </w:tc>
        <w:tc>
          <w:tcPr>
            <w:tcW w:w="1080" w:type="dxa"/>
            <w:vAlign w:val="center"/>
          </w:tcPr>
          <w:p w14:paraId="506E1E07">
            <w:pPr>
              <w:rPr>
                <w:rFonts w:ascii="宋体" w:hAnsi="宋体"/>
                <w:sz w:val="24"/>
              </w:rPr>
            </w:pPr>
          </w:p>
        </w:tc>
        <w:tc>
          <w:tcPr>
            <w:tcW w:w="2891" w:type="dxa"/>
            <w:vAlign w:val="center"/>
          </w:tcPr>
          <w:p w14:paraId="5B901259">
            <w:pPr>
              <w:rPr>
                <w:rFonts w:ascii="宋体" w:hAnsi="宋体"/>
                <w:sz w:val="24"/>
              </w:rPr>
            </w:pPr>
          </w:p>
        </w:tc>
        <w:tc>
          <w:tcPr>
            <w:tcW w:w="1110" w:type="dxa"/>
            <w:vAlign w:val="center"/>
          </w:tcPr>
          <w:p w14:paraId="3E2950FA">
            <w:pPr>
              <w:rPr>
                <w:rFonts w:ascii="宋体" w:hAnsi="宋体"/>
                <w:sz w:val="24"/>
              </w:rPr>
            </w:pPr>
          </w:p>
        </w:tc>
        <w:tc>
          <w:tcPr>
            <w:tcW w:w="2613" w:type="dxa"/>
            <w:vAlign w:val="center"/>
          </w:tcPr>
          <w:p w14:paraId="4C8481EB">
            <w:pPr>
              <w:rPr>
                <w:rFonts w:ascii="宋体" w:hAnsi="宋体"/>
                <w:sz w:val="24"/>
              </w:rPr>
            </w:pPr>
          </w:p>
        </w:tc>
      </w:tr>
      <w:tr w14:paraId="4891D9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4221E1DC">
            <w:pPr>
              <w:jc w:val="center"/>
              <w:rPr>
                <w:rFonts w:ascii="宋体" w:hAnsi="宋体"/>
                <w:sz w:val="24"/>
              </w:rPr>
            </w:pPr>
            <w:r>
              <w:rPr>
                <w:rFonts w:hint="eastAsia" w:ascii="宋体" w:hAnsi="宋体"/>
                <w:sz w:val="24"/>
              </w:rPr>
              <w:t>10</w:t>
            </w:r>
          </w:p>
        </w:tc>
        <w:tc>
          <w:tcPr>
            <w:tcW w:w="1080" w:type="dxa"/>
            <w:vAlign w:val="center"/>
          </w:tcPr>
          <w:p w14:paraId="1A544970">
            <w:pPr>
              <w:rPr>
                <w:rFonts w:ascii="宋体" w:hAnsi="宋体"/>
                <w:sz w:val="24"/>
              </w:rPr>
            </w:pPr>
          </w:p>
        </w:tc>
        <w:tc>
          <w:tcPr>
            <w:tcW w:w="2891" w:type="dxa"/>
            <w:vAlign w:val="center"/>
          </w:tcPr>
          <w:p w14:paraId="6BDE02EE">
            <w:pPr>
              <w:rPr>
                <w:rFonts w:ascii="宋体" w:hAnsi="宋体"/>
                <w:sz w:val="24"/>
              </w:rPr>
            </w:pPr>
          </w:p>
        </w:tc>
        <w:tc>
          <w:tcPr>
            <w:tcW w:w="1110" w:type="dxa"/>
            <w:vAlign w:val="center"/>
          </w:tcPr>
          <w:p w14:paraId="791138C3">
            <w:pPr>
              <w:rPr>
                <w:rFonts w:ascii="宋体" w:hAnsi="宋体"/>
                <w:sz w:val="24"/>
              </w:rPr>
            </w:pPr>
          </w:p>
        </w:tc>
        <w:tc>
          <w:tcPr>
            <w:tcW w:w="2613" w:type="dxa"/>
            <w:vAlign w:val="center"/>
          </w:tcPr>
          <w:p w14:paraId="220F9FA2">
            <w:pPr>
              <w:rPr>
                <w:rFonts w:ascii="宋体" w:hAnsi="宋体"/>
                <w:sz w:val="24"/>
              </w:rPr>
            </w:pPr>
          </w:p>
        </w:tc>
      </w:tr>
      <w:tr w14:paraId="3B506F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7E2FE7C1">
            <w:pPr>
              <w:jc w:val="center"/>
              <w:rPr>
                <w:rFonts w:ascii="宋体" w:hAnsi="宋体"/>
                <w:sz w:val="24"/>
              </w:rPr>
            </w:pPr>
            <w:r>
              <w:rPr>
                <w:rFonts w:hint="eastAsia" w:ascii="宋体" w:hAnsi="宋体"/>
                <w:sz w:val="24"/>
              </w:rPr>
              <w:t>11</w:t>
            </w:r>
          </w:p>
        </w:tc>
        <w:tc>
          <w:tcPr>
            <w:tcW w:w="1080" w:type="dxa"/>
            <w:vAlign w:val="center"/>
          </w:tcPr>
          <w:p w14:paraId="4B361E17">
            <w:pPr>
              <w:rPr>
                <w:rFonts w:ascii="宋体" w:hAnsi="宋体"/>
                <w:sz w:val="24"/>
              </w:rPr>
            </w:pPr>
          </w:p>
        </w:tc>
        <w:tc>
          <w:tcPr>
            <w:tcW w:w="2891" w:type="dxa"/>
            <w:vAlign w:val="center"/>
          </w:tcPr>
          <w:p w14:paraId="419FC840">
            <w:pPr>
              <w:rPr>
                <w:rFonts w:ascii="宋体" w:hAnsi="宋体"/>
                <w:sz w:val="24"/>
              </w:rPr>
            </w:pPr>
          </w:p>
        </w:tc>
        <w:tc>
          <w:tcPr>
            <w:tcW w:w="1110" w:type="dxa"/>
            <w:vAlign w:val="center"/>
          </w:tcPr>
          <w:p w14:paraId="24784016">
            <w:pPr>
              <w:rPr>
                <w:rFonts w:ascii="宋体" w:hAnsi="宋体"/>
                <w:sz w:val="24"/>
              </w:rPr>
            </w:pPr>
          </w:p>
        </w:tc>
        <w:tc>
          <w:tcPr>
            <w:tcW w:w="2613" w:type="dxa"/>
            <w:vAlign w:val="center"/>
          </w:tcPr>
          <w:p w14:paraId="2580346C">
            <w:pPr>
              <w:rPr>
                <w:rFonts w:ascii="宋体" w:hAnsi="宋体"/>
                <w:sz w:val="24"/>
              </w:rPr>
            </w:pPr>
          </w:p>
        </w:tc>
      </w:tr>
      <w:tr w14:paraId="7400B3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0EEAFA7F">
            <w:pPr>
              <w:jc w:val="center"/>
              <w:rPr>
                <w:rFonts w:ascii="宋体" w:hAnsi="宋体"/>
                <w:sz w:val="24"/>
              </w:rPr>
            </w:pPr>
            <w:r>
              <w:rPr>
                <w:rFonts w:hint="eastAsia" w:ascii="宋体" w:hAnsi="宋体"/>
                <w:sz w:val="24"/>
              </w:rPr>
              <w:t>12</w:t>
            </w:r>
          </w:p>
        </w:tc>
        <w:tc>
          <w:tcPr>
            <w:tcW w:w="1080" w:type="dxa"/>
            <w:vAlign w:val="center"/>
          </w:tcPr>
          <w:p w14:paraId="528BE5C6">
            <w:pPr>
              <w:rPr>
                <w:rFonts w:ascii="宋体" w:hAnsi="宋体"/>
                <w:sz w:val="24"/>
              </w:rPr>
            </w:pPr>
          </w:p>
        </w:tc>
        <w:tc>
          <w:tcPr>
            <w:tcW w:w="2891" w:type="dxa"/>
            <w:vAlign w:val="center"/>
          </w:tcPr>
          <w:p w14:paraId="36818F9A">
            <w:pPr>
              <w:rPr>
                <w:rFonts w:ascii="宋体" w:hAnsi="宋体"/>
                <w:sz w:val="24"/>
              </w:rPr>
            </w:pPr>
          </w:p>
        </w:tc>
        <w:tc>
          <w:tcPr>
            <w:tcW w:w="1110" w:type="dxa"/>
            <w:vAlign w:val="center"/>
          </w:tcPr>
          <w:p w14:paraId="7DF53C5A">
            <w:pPr>
              <w:rPr>
                <w:rFonts w:ascii="宋体" w:hAnsi="宋体"/>
                <w:sz w:val="24"/>
              </w:rPr>
            </w:pPr>
          </w:p>
        </w:tc>
        <w:tc>
          <w:tcPr>
            <w:tcW w:w="2613" w:type="dxa"/>
            <w:vAlign w:val="center"/>
          </w:tcPr>
          <w:p w14:paraId="13BDD124">
            <w:pPr>
              <w:rPr>
                <w:rFonts w:ascii="宋体" w:hAnsi="宋体"/>
                <w:sz w:val="24"/>
              </w:rPr>
            </w:pPr>
          </w:p>
        </w:tc>
      </w:tr>
      <w:tr w14:paraId="71F5C2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7A2CADD8">
            <w:pPr>
              <w:jc w:val="center"/>
              <w:rPr>
                <w:rFonts w:ascii="宋体" w:hAnsi="宋体"/>
                <w:sz w:val="24"/>
              </w:rPr>
            </w:pPr>
            <w:r>
              <w:rPr>
                <w:rFonts w:hint="eastAsia" w:ascii="宋体" w:hAnsi="宋体"/>
                <w:sz w:val="24"/>
              </w:rPr>
              <w:t>13</w:t>
            </w:r>
          </w:p>
        </w:tc>
        <w:tc>
          <w:tcPr>
            <w:tcW w:w="1080" w:type="dxa"/>
            <w:vAlign w:val="center"/>
          </w:tcPr>
          <w:p w14:paraId="251C99B0">
            <w:pPr>
              <w:rPr>
                <w:rFonts w:ascii="宋体" w:hAnsi="宋体"/>
                <w:sz w:val="24"/>
              </w:rPr>
            </w:pPr>
          </w:p>
        </w:tc>
        <w:tc>
          <w:tcPr>
            <w:tcW w:w="2891" w:type="dxa"/>
            <w:vAlign w:val="center"/>
          </w:tcPr>
          <w:p w14:paraId="1795B501">
            <w:pPr>
              <w:rPr>
                <w:rFonts w:ascii="宋体" w:hAnsi="宋体"/>
                <w:sz w:val="24"/>
              </w:rPr>
            </w:pPr>
          </w:p>
        </w:tc>
        <w:tc>
          <w:tcPr>
            <w:tcW w:w="1110" w:type="dxa"/>
            <w:vAlign w:val="center"/>
          </w:tcPr>
          <w:p w14:paraId="3B1BA0A2">
            <w:pPr>
              <w:rPr>
                <w:rFonts w:ascii="宋体" w:hAnsi="宋体"/>
                <w:sz w:val="24"/>
              </w:rPr>
            </w:pPr>
          </w:p>
        </w:tc>
        <w:tc>
          <w:tcPr>
            <w:tcW w:w="2613" w:type="dxa"/>
            <w:vAlign w:val="center"/>
          </w:tcPr>
          <w:p w14:paraId="710568C8">
            <w:pPr>
              <w:rPr>
                <w:rFonts w:ascii="宋体" w:hAnsi="宋体"/>
                <w:sz w:val="24"/>
              </w:rPr>
            </w:pPr>
          </w:p>
        </w:tc>
      </w:tr>
    </w:tbl>
    <w:p w14:paraId="61175567">
      <w:pPr>
        <w:rPr>
          <w:rFonts w:ascii="宋体" w:hAnsi="宋体"/>
          <w:sz w:val="24"/>
        </w:rPr>
      </w:pPr>
      <w:r>
        <w:rPr>
          <w:rFonts w:hint="eastAsia" w:ascii="宋体" w:hAnsi="宋体"/>
          <w:b/>
          <w:sz w:val="24"/>
        </w:rPr>
        <w:t>注：</w:t>
      </w:r>
      <w:r>
        <w:rPr>
          <w:rFonts w:hint="eastAsia" w:ascii="宋体" w:hAnsi="宋体"/>
          <w:sz w:val="24"/>
        </w:rPr>
        <w:t>即使投标人进行了描述，也要提报该表，</w:t>
      </w:r>
      <w:r>
        <w:rPr>
          <w:rFonts w:hint="eastAsia" w:ascii="宋体" w:hAnsi="宋体"/>
          <w:b/>
          <w:sz w:val="24"/>
        </w:rPr>
        <w:t>无该表则被视为“无偏离”。</w:t>
      </w:r>
      <w:r>
        <w:rPr>
          <w:rFonts w:hint="eastAsia" w:ascii="宋体" w:hAnsi="宋体"/>
          <w:sz w:val="24"/>
        </w:rPr>
        <w:t>如无偏离注明“无”字。</w:t>
      </w:r>
    </w:p>
    <w:p w14:paraId="37D3893C">
      <w:pPr>
        <w:pStyle w:val="10"/>
        <w:spacing w:line="360" w:lineRule="auto"/>
        <w:rPr>
          <w:rFonts w:hAnsi="宋体"/>
          <w:b/>
          <w:bCs/>
          <w:sz w:val="28"/>
          <w:szCs w:val="28"/>
        </w:rPr>
      </w:pPr>
    </w:p>
    <w:p w14:paraId="7E55335E">
      <w:r>
        <w:rPr>
          <w:rFonts w:hint="eastAsia" w:ascii="宋体" w:hAnsi="宋体"/>
          <w:sz w:val="24"/>
        </w:rPr>
        <w:t xml:space="preserve"> </w:t>
      </w:r>
      <w:r>
        <w:rPr>
          <w:rFonts w:ascii="宋体" w:hAnsi="宋体"/>
          <w:sz w:val="24"/>
        </w:rPr>
        <w:t xml:space="preserve">     </w:t>
      </w:r>
      <w:r>
        <w:rPr>
          <w:rFonts w:hint="eastAsia" w:ascii="宋体" w:hAnsi="宋体"/>
          <w:sz w:val="24"/>
        </w:rPr>
        <w:t>投标人名称：                   授权代表签字：            日期：</w:t>
      </w:r>
    </w:p>
    <w:p w14:paraId="2ECA8FB0">
      <w:pPr>
        <w:rPr>
          <w:rFonts w:eastAsia="黑体"/>
          <w:b/>
          <w:bCs/>
          <w:sz w:val="28"/>
        </w:rPr>
      </w:pPr>
    </w:p>
    <w:p w14:paraId="6B565DF0">
      <w:bookmarkStart w:id="18" w:name="_Toc32530"/>
    </w:p>
    <w:p w14:paraId="585AB34B">
      <w:pPr>
        <w:rPr>
          <w:rFonts w:ascii="宋体" w:hAnsi="宋体"/>
          <w:sz w:val="24"/>
        </w:rPr>
      </w:pPr>
      <w:r>
        <w:rPr>
          <w:rFonts w:hint="eastAsia" w:ascii="宋体" w:hAnsi="宋体"/>
          <w:sz w:val="24"/>
        </w:rPr>
        <w:t>附件5</w:t>
      </w:r>
      <w:bookmarkEnd w:id="18"/>
    </w:p>
    <w:p w14:paraId="739BAE44">
      <w:pPr>
        <w:jc w:val="center"/>
        <w:rPr>
          <w:rFonts w:eastAsia="黑体"/>
          <w:b/>
          <w:bCs/>
          <w:sz w:val="28"/>
        </w:rPr>
      </w:pPr>
      <w:r>
        <w:rPr>
          <w:rFonts w:hint="eastAsia" w:eastAsia="黑体"/>
          <w:b/>
          <w:bCs/>
          <w:sz w:val="28"/>
        </w:rPr>
        <w:t>封面格式（参考）</w:t>
      </w:r>
    </w:p>
    <w:p w14:paraId="6B503632">
      <w:pPr>
        <w:jc w:val="center"/>
        <w:rPr>
          <w:rFonts w:eastAsia="黑体"/>
          <w:b/>
          <w:bCs/>
          <w:sz w:val="28"/>
        </w:rPr>
      </w:pPr>
    </w:p>
    <w:tbl>
      <w:tblPr>
        <w:tblStyle w:val="1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285"/>
        <w:gridCol w:w="4775"/>
      </w:tblGrid>
      <w:tr w14:paraId="6C45C0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70" w:hRule="atLeast"/>
          <w:jc w:val="center"/>
        </w:trPr>
        <w:tc>
          <w:tcPr>
            <w:tcW w:w="4285" w:type="dxa"/>
          </w:tcPr>
          <w:p w14:paraId="25AA5AE5">
            <w:pPr>
              <w:pStyle w:val="8"/>
              <w:ind w:firstLine="470"/>
              <w:jc w:val="left"/>
              <w:rPr>
                <w:rFonts w:ascii="宋体" w:hAnsi="宋体"/>
                <w:sz w:val="24"/>
                <w:szCs w:val="24"/>
              </w:rPr>
            </w:pPr>
          </w:p>
          <w:p w14:paraId="7CBDFE8D">
            <w:pPr>
              <w:pStyle w:val="8"/>
              <w:ind w:left="0" w:leftChars="0"/>
              <w:jc w:val="left"/>
              <w:rPr>
                <w:rFonts w:ascii="宋体" w:hAnsi="宋体"/>
                <w:b/>
                <w:bCs/>
                <w:sz w:val="30"/>
                <w:szCs w:val="30"/>
              </w:rPr>
            </w:pPr>
            <w:r>
              <w:rPr>
                <w:rFonts w:hint="eastAsia" w:ascii="宋体" w:hAnsi="宋体" w:cs="宋体"/>
                <w:b/>
                <w:bCs/>
                <w:sz w:val="30"/>
                <w:szCs w:val="30"/>
              </w:rPr>
              <w:t>投标文件</w:t>
            </w:r>
          </w:p>
          <w:p w14:paraId="7FCEDDE3">
            <w:pPr>
              <w:pStyle w:val="8"/>
              <w:ind w:left="0" w:leftChars="0"/>
              <w:jc w:val="left"/>
              <w:rPr>
                <w:rFonts w:ascii="宋体" w:hAnsi="宋体"/>
                <w:sz w:val="30"/>
                <w:szCs w:val="30"/>
              </w:rPr>
            </w:pPr>
            <w:r>
              <w:rPr>
                <w:rFonts w:hint="eastAsia" w:ascii="宋体" w:hAnsi="宋体" w:cs="宋体"/>
                <w:b/>
                <w:bCs/>
                <w:sz w:val="30"/>
                <w:szCs w:val="30"/>
              </w:rPr>
              <w:t>（正本）</w:t>
            </w:r>
          </w:p>
          <w:p w14:paraId="7E166D8C">
            <w:pPr>
              <w:pStyle w:val="8"/>
              <w:ind w:firstLine="353"/>
              <w:jc w:val="left"/>
              <w:rPr>
                <w:rFonts w:ascii="宋体" w:hAnsi="宋体"/>
                <w:sz w:val="18"/>
                <w:szCs w:val="18"/>
              </w:rPr>
            </w:pPr>
          </w:p>
          <w:p w14:paraId="2B91DAF2">
            <w:pPr>
              <w:pStyle w:val="8"/>
              <w:spacing w:line="400" w:lineRule="exact"/>
              <w:ind w:left="0" w:leftChars="0"/>
              <w:jc w:val="left"/>
              <w:rPr>
                <w:rFonts w:ascii="宋体" w:hAnsi="宋体"/>
                <w:sz w:val="24"/>
                <w:szCs w:val="24"/>
              </w:rPr>
            </w:pPr>
            <w:r>
              <w:rPr>
                <w:rFonts w:hint="eastAsia" w:ascii="宋体" w:hAnsi="宋体" w:cs="宋体"/>
                <w:sz w:val="24"/>
                <w:szCs w:val="24"/>
              </w:rPr>
              <w:t>项目名称：</w:t>
            </w:r>
          </w:p>
          <w:p w14:paraId="29F35780">
            <w:pPr>
              <w:pStyle w:val="8"/>
              <w:spacing w:line="400" w:lineRule="exact"/>
              <w:ind w:left="0" w:leftChars="0"/>
              <w:jc w:val="left"/>
              <w:rPr>
                <w:rFonts w:ascii="宋体" w:hAnsi="宋体"/>
                <w:sz w:val="24"/>
                <w:szCs w:val="24"/>
              </w:rPr>
            </w:pPr>
            <w:r>
              <w:rPr>
                <w:rFonts w:hint="eastAsia" w:ascii="宋体" w:hAnsi="宋体" w:cs="宋体"/>
                <w:sz w:val="24"/>
                <w:szCs w:val="24"/>
              </w:rPr>
              <w:t>投标人名称（公章）：</w:t>
            </w:r>
          </w:p>
          <w:p w14:paraId="62082E2B">
            <w:pPr>
              <w:pStyle w:val="8"/>
              <w:spacing w:line="400" w:lineRule="exact"/>
              <w:ind w:left="0" w:leftChars="0"/>
              <w:jc w:val="left"/>
              <w:rPr>
                <w:rFonts w:ascii="宋体" w:hAnsi="宋体"/>
                <w:sz w:val="24"/>
                <w:szCs w:val="24"/>
              </w:rPr>
            </w:pPr>
            <w:r>
              <w:rPr>
                <w:rFonts w:hint="eastAsia" w:ascii="宋体" w:hAnsi="宋体" w:cs="宋体"/>
                <w:sz w:val="24"/>
                <w:szCs w:val="24"/>
              </w:rPr>
              <w:t>地址：</w:t>
            </w:r>
          </w:p>
          <w:p w14:paraId="10EF26BA">
            <w:pPr>
              <w:pStyle w:val="8"/>
              <w:spacing w:line="400" w:lineRule="exact"/>
              <w:ind w:left="0" w:leftChars="0"/>
              <w:jc w:val="left"/>
              <w:rPr>
                <w:rFonts w:ascii="宋体" w:hAnsi="宋体"/>
                <w:sz w:val="24"/>
                <w:szCs w:val="24"/>
              </w:rPr>
            </w:pPr>
            <w:r>
              <w:rPr>
                <w:rFonts w:hint="eastAsia" w:ascii="宋体" w:hAnsi="宋体" w:cs="宋体"/>
                <w:sz w:val="24"/>
                <w:szCs w:val="24"/>
              </w:rPr>
              <w:t>电话：</w:t>
            </w:r>
          </w:p>
          <w:p w14:paraId="783FB664">
            <w:pPr>
              <w:pStyle w:val="8"/>
              <w:spacing w:line="400" w:lineRule="exact"/>
              <w:ind w:left="0" w:leftChars="0"/>
              <w:jc w:val="left"/>
              <w:rPr>
                <w:rFonts w:ascii="宋体" w:hAnsi="宋体"/>
                <w:sz w:val="24"/>
                <w:szCs w:val="24"/>
              </w:rPr>
            </w:pPr>
            <w:r>
              <w:rPr>
                <w:rFonts w:hint="eastAsia" w:ascii="宋体" w:hAnsi="宋体" w:cs="宋体"/>
                <w:sz w:val="24"/>
                <w:szCs w:val="24"/>
              </w:rPr>
              <w:t>传真：</w:t>
            </w:r>
          </w:p>
          <w:p w14:paraId="74585385">
            <w:pPr>
              <w:pStyle w:val="8"/>
              <w:spacing w:line="400" w:lineRule="exact"/>
              <w:ind w:left="0" w:leftChars="0"/>
              <w:jc w:val="left"/>
              <w:rPr>
                <w:rFonts w:ascii="宋体" w:hAnsi="宋体"/>
                <w:sz w:val="24"/>
                <w:szCs w:val="24"/>
              </w:rPr>
            </w:pPr>
            <w:r>
              <w:rPr>
                <w:rFonts w:hint="eastAsia" w:ascii="宋体" w:hAnsi="宋体" w:cs="宋体"/>
                <w:sz w:val="24"/>
                <w:szCs w:val="24"/>
              </w:rPr>
              <w:t>邮编：</w:t>
            </w:r>
            <w:r>
              <w:rPr>
                <w:rFonts w:ascii="宋体" w:hAnsi="宋体" w:cs="宋体"/>
                <w:sz w:val="32"/>
                <w:szCs w:val="32"/>
              </w:rPr>
              <w:t xml:space="preserve"> </w:t>
            </w:r>
          </w:p>
        </w:tc>
        <w:tc>
          <w:tcPr>
            <w:tcW w:w="4775" w:type="dxa"/>
          </w:tcPr>
          <w:p w14:paraId="2BCD6B59">
            <w:pPr>
              <w:pStyle w:val="8"/>
              <w:ind w:firstLine="470"/>
              <w:jc w:val="left"/>
              <w:rPr>
                <w:rFonts w:ascii="宋体" w:hAnsi="宋体"/>
                <w:sz w:val="24"/>
                <w:szCs w:val="24"/>
              </w:rPr>
            </w:pPr>
          </w:p>
          <w:p w14:paraId="28FB8AA5">
            <w:pPr>
              <w:pStyle w:val="8"/>
              <w:ind w:left="0" w:leftChars="0"/>
              <w:jc w:val="left"/>
              <w:rPr>
                <w:rFonts w:ascii="宋体" w:hAnsi="宋体"/>
                <w:b/>
                <w:bCs/>
                <w:sz w:val="30"/>
                <w:szCs w:val="30"/>
              </w:rPr>
            </w:pPr>
            <w:r>
              <w:rPr>
                <w:rFonts w:hint="eastAsia" w:ascii="宋体" w:hAnsi="宋体" w:cs="宋体"/>
                <w:b/>
                <w:bCs/>
                <w:sz w:val="30"/>
                <w:szCs w:val="30"/>
              </w:rPr>
              <w:t>投标文件</w:t>
            </w:r>
          </w:p>
          <w:p w14:paraId="0CDB4807">
            <w:pPr>
              <w:pStyle w:val="8"/>
              <w:ind w:left="0" w:leftChars="0"/>
              <w:jc w:val="left"/>
              <w:rPr>
                <w:rFonts w:ascii="宋体" w:hAnsi="宋体"/>
                <w:sz w:val="30"/>
                <w:szCs w:val="30"/>
              </w:rPr>
            </w:pPr>
            <w:r>
              <w:rPr>
                <w:rFonts w:hint="eastAsia" w:ascii="宋体" w:hAnsi="宋体" w:cs="宋体"/>
                <w:b/>
                <w:bCs/>
                <w:sz w:val="30"/>
                <w:szCs w:val="30"/>
              </w:rPr>
              <w:t>（副本）</w:t>
            </w:r>
          </w:p>
          <w:p w14:paraId="0A859F3B">
            <w:pPr>
              <w:pStyle w:val="8"/>
              <w:ind w:firstLine="353"/>
              <w:jc w:val="left"/>
              <w:rPr>
                <w:rFonts w:ascii="宋体" w:hAnsi="宋体"/>
                <w:sz w:val="18"/>
                <w:szCs w:val="18"/>
              </w:rPr>
            </w:pPr>
          </w:p>
          <w:p w14:paraId="6F41C33D">
            <w:pPr>
              <w:pStyle w:val="8"/>
              <w:spacing w:line="400" w:lineRule="exact"/>
              <w:ind w:left="0" w:leftChars="0"/>
              <w:jc w:val="left"/>
              <w:rPr>
                <w:rFonts w:ascii="宋体" w:hAnsi="宋体"/>
                <w:sz w:val="24"/>
                <w:szCs w:val="24"/>
              </w:rPr>
            </w:pPr>
            <w:r>
              <w:rPr>
                <w:rFonts w:hint="eastAsia" w:ascii="宋体" w:hAnsi="宋体" w:cs="宋体"/>
                <w:sz w:val="24"/>
                <w:szCs w:val="24"/>
              </w:rPr>
              <w:t>项目名称：</w:t>
            </w:r>
          </w:p>
          <w:p w14:paraId="44D66C24">
            <w:pPr>
              <w:pStyle w:val="8"/>
              <w:spacing w:line="400" w:lineRule="exact"/>
              <w:ind w:left="0" w:leftChars="0"/>
              <w:jc w:val="left"/>
              <w:rPr>
                <w:rFonts w:ascii="宋体" w:hAnsi="宋体"/>
                <w:sz w:val="24"/>
                <w:szCs w:val="24"/>
              </w:rPr>
            </w:pPr>
            <w:r>
              <w:rPr>
                <w:rFonts w:hint="eastAsia" w:ascii="宋体" w:hAnsi="宋体" w:cs="宋体"/>
                <w:sz w:val="24"/>
                <w:szCs w:val="24"/>
              </w:rPr>
              <w:t>投标人名称（公章）：</w:t>
            </w:r>
          </w:p>
          <w:p w14:paraId="244BAD6A">
            <w:pPr>
              <w:pStyle w:val="8"/>
              <w:spacing w:line="400" w:lineRule="exact"/>
              <w:ind w:left="0" w:leftChars="0"/>
              <w:jc w:val="left"/>
              <w:rPr>
                <w:rFonts w:ascii="宋体" w:hAnsi="宋体"/>
                <w:sz w:val="24"/>
                <w:szCs w:val="24"/>
              </w:rPr>
            </w:pPr>
            <w:r>
              <w:rPr>
                <w:rFonts w:hint="eastAsia" w:ascii="宋体" w:hAnsi="宋体" w:cs="宋体"/>
                <w:sz w:val="24"/>
                <w:szCs w:val="24"/>
              </w:rPr>
              <w:t>地址：</w:t>
            </w:r>
          </w:p>
          <w:p w14:paraId="135E28C0">
            <w:pPr>
              <w:pStyle w:val="8"/>
              <w:spacing w:line="400" w:lineRule="exact"/>
              <w:ind w:left="0" w:leftChars="0"/>
              <w:jc w:val="left"/>
              <w:rPr>
                <w:rFonts w:ascii="宋体" w:hAnsi="宋体"/>
                <w:sz w:val="24"/>
                <w:szCs w:val="24"/>
              </w:rPr>
            </w:pPr>
            <w:r>
              <w:rPr>
                <w:rFonts w:hint="eastAsia" w:ascii="宋体" w:hAnsi="宋体" w:cs="宋体"/>
                <w:sz w:val="24"/>
                <w:szCs w:val="24"/>
              </w:rPr>
              <w:t>电话：</w:t>
            </w:r>
          </w:p>
          <w:p w14:paraId="3F3C2B3D">
            <w:pPr>
              <w:pStyle w:val="8"/>
              <w:spacing w:line="400" w:lineRule="exact"/>
              <w:ind w:left="0" w:leftChars="0"/>
              <w:jc w:val="left"/>
              <w:rPr>
                <w:rFonts w:ascii="宋体" w:hAnsi="宋体"/>
                <w:sz w:val="24"/>
                <w:szCs w:val="24"/>
              </w:rPr>
            </w:pPr>
            <w:r>
              <w:rPr>
                <w:rFonts w:hint="eastAsia" w:ascii="宋体" w:hAnsi="宋体" w:cs="宋体"/>
                <w:sz w:val="24"/>
                <w:szCs w:val="24"/>
              </w:rPr>
              <w:t>传真：</w:t>
            </w:r>
          </w:p>
          <w:p w14:paraId="1C0C3F20">
            <w:pPr>
              <w:pStyle w:val="8"/>
              <w:spacing w:line="400" w:lineRule="exact"/>
              <w:ind w:left="0" w:leftChars="0"/>
              <w:jc w:val="left"/>
              <w:rPr>
                <w:rFonts w:ascii="宋体" w:hAnsi="宋体"/>
                <w:sz w:val="24"/>
                <w:szCs w:val="24"/>
              </w:rPr>
            </w:pPr>
            <w:r>
              <w:rPr>
                <w:rFonts w:hint="eastAsia" w:ascii="宋体" w:hAnsi="宋体" w:cs="宋体"/>
                <w:sz w:val="24"/>
                <w:szCs w:val="24"/>
              </w:rPr>
              <w:t>邮编：</w:t>
            </w:r>
            <w:r>
              <w:rPr>
                <w:rFonts w:ascii="宋体" w:hAnsi="宋体" w:cs="宋体"/>
                <w:sz w:val="32"/>
                <w:szCs w:val="32"/>
              </w:rPr>
              <w:t xml:space="preserve"> </w:t>
            </w:r>
          </w:p>
        </w:tc>
      </w:tr>
    </w:tbl>
    <w:p w14:paraId="095C0119">
      <w:pPr>
        <w:pStyle w:val="8"/>
        <w:ind w:left="0" w:leftChars="0"/>
        <w:outlineLvl w:val="0"/>
        <w:rPr>
          <w:rFonts w:ascii="宋体" w:hAnsi="宋体"/>
          <w:b/>
          <w:bCs/>
          <w:sz w:val="32"/>
          <w:szCs w:val="32"/>
        </w:rPr>
      </w:pPr>
      <w:bookmarkStart w:id="19" w:name="_Toc15445"/>
      <w:r>
        <w:rPr>
          <w:rFonts w:hint="eastAsia" w:ascii="宋体" w:hAnsi="宋体" w:cs="宋体"/>
          <w:b/>
          <w:bCs/>
          <w:sz w:val="32"/>
          <w:szCs w:val="32"/>
        </w:rPr>
        <w:t>封口格式：</w:t>
      </w:r>
      <w:bookmarkEnd w:id="19"/>
    </w:p>
    <w:tbl>
      <w:tblPr>
        <w:tblStyle w:val="1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168"/>
      </w:tblGrid>
      <w:tr w14:paraId="35DA7B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6" w:hRule="atLeast"/>
          <w:jc w:val="center"/>
        </w:trPr>
        <w:tc>
          <w:tcPr>
            <w:tcW w:w="9168" w:type="dxa"/>
            <w:vAlign w:val="center"/>
          </w:tcPr>
          <w:p w14:paraId="7C82B3C0">
            <w:pPr>
              <w:pStyle w:val="8"/>
              <w:ind w:left="0" w:leftChars="0"/>
              <w:rPr>
                <w:rFonts w:ascii="宋体" w:hAnsi="宋体"/>
                <w:sz w:val="24"/>
                <w:szCs w:val="24"/>
              </w:rPr>
            </w:pPr>
            <w:r>
              <w:rPr>
                <w:rFonts w:hint="eastAsia" w:ascii="宋体" w:hAnsi="宋体" w:cs="宋体"/>
                <w:sz w:val="24"/>
                <w:szCs w:val="24"/>
              </w:rPr>
              <w:t>……………………于</w:t>
            </w:r>
            <w:r>
              <w:rPr>
                <w:rFonts w:hint="eastAsia" w:ascii="宋体" w:hAnsi="宋体" w:cs="宋体"/>
                <w:sz w:val="24"/>
                <w:szCs w:val="24"/>
                <w:u w:val="single"/>
              </w:rPr>
              <w:t xml:space="preserve">     </w:t>
            </w:r>
            <w:r>
              <w:rPr>
                <w:rFonts w:ascii="宋体" w:hAnsi="宋体" w:cs="宋体"/>
                <w:sz w:val="24"/>
                <w:szCs w:val="24"/>
              </w:rPr>
              <w:t>年</w:t>
            </w:r>
            <w:r>
              <w:rPr>
                <w:rFonts w:ascii="宋体" w:hAnsi="宋体" w:cs="宋体"/>
                <w:sz w:val="24"/>
                <w:szCs w:val="24"/>
                <w:u w:val="single"/>
              </w:rPr>
              <w:t xml:space="preserve">  </w:t>
            </w:r>
            <w:r>
              <w:rPr>
                <w:rFonts w:hint="eastAsia" w:ascii="宋体" w:hAnsi="宋体" w:cs="宋体"/>
                <w:sz w:val="24"/>
                <w:szCs w:val="24"/>
              </w:rPr>
              <w:t>月</w:t>
            </w:r>
            <w:r>
              <w:rPr>
                <w:rFonts w:ascii="宋体" w:hAnsi="宋体" w:cs="宋体"/>
                <w:sz w:val="24"/>
                <w:szCs w:val="24"/>
                <w:u w:val="single"/>
              </w:rPr>
              <w:t xml:space="preserve">  </w:t>
            </w:r>
            <w:r>
              <w:rPr>
                <w:rFonts w:hint="eastAsia" w:ascii="宋体" w:hAnsi="宋体" w:cs="宋体"/>
                <w:sz w:val="24"/>
                <w:szCs w:val="24"/>
              </w:rPr>
              <w:t>日</w:t>
            </w:r>
            <w:r>
              <w:rPr>
                <w:rFonts w:hint="eastAsia" w:ascii="宋体" w:hAnsi="宋体" w:cs="宋体"/>
                <w:sz w:val="24"/>
                <w:szCs w:val="24"/>
                <w:u w:val="single"/>
              </w:rPr>
              <w:t xml:space="preserve">  </w:t>
            </w:r>
            <w:r>
              <w:rPr>
                <w:rFonts w:hint="eastAsia" w:ascii="宋体" w:hAnsi="宋体" w:cs="宋体"/>
                <w:sz w:val="24"/>
                <w:szCs w:val="24"/>
              </w:rPr>
              <w:t>时之前不准启封（公章）…………………</w:t>
            </w:r>
          </w:p>
        </w:tc>
      </w:tr>
    </w:tbl>
    <w:p w14:paraId="2887AFD9">
      <w:pPr>
        <w:tabs>
          <w:tab w:val="left" w:pos="1620"/>
        </w:tabs>
        <w:spacing w:line="400" w:lineRule="exact"/>
        <w:rPr>
          <w:rFonts w:ascii="黑体" w:hAnsi="Courier New" w:eastAsia="黑体"/>
          <w:b/>
          <w:bCs/>
          <w:sz w:val="36"/>
          <w:szCs w:val="36"/>
        </w:rPr>
      </w:pPr>
    </w:p>
    <w:p w14:paraId="56803E5D"/>
    <w:p w14:paraId="32548B5C">
      <w:pPr>
        <w:rPr>
          <w:rFonts w:eastAsia="黑体"/>
          <w:b/>
          <w:bCs/>
          <w:sz w:val="28"/>
        </w:rPr>
      </w:pPr>
    </w:p>
    <w:p w14:paraId="3F31A3E4">
      <w:pPr>
        <w:rPr>
          <w:rFonts w:eastAsia="黑体"/>
          <w:b/>
          <w:bCs/>
          <w:sz w:val="28"/>
        </w:rPr>
      </w:pPr>
    </w:p>
    <w:p w14:paraId="06AA1933">
      <w:pPr>
        <w:rPr>
          <w:rFonts w:eastAsia="黑体"/>
          <w:b/>
          <w:bCs/>
          <w:sz w:val="28"/>
        </w:rPr>
      </w:pPr>
    </w:p>
    <w:p w14:paraId="04930C4D">
      <w:pPr>
        <w:pStyle w:val="10"/>
        <w:spacing w:line="440" w:lineRule="exact"/>
        <w:rPr>
          <w:rFonts w:ascii="Times New Roman" w:hAnsi="Times New Roman" w:eastAsia="黑体" w:cs="Times New Roman"/>
          <w:b/>
          <w:bCs/>
          <w:sz w:val="28"/>
          <w:szCs w:val="20"/>
        </w:rPr>
      </w:pPr>
    </w:p>
    <w:p w14:paraId="46521D2B">
      <w:pPr>
        <w:pStyle w:val="10"/>
        <w:spacing w:line="440" w:lineRule="exact"/>
        <w:jc w:val="center"/>
        <w:rPr>
          <w:rFonts w:ascii="Times New Roman" w:hAnsi="Times New Roman" w:eastAsia="黑体" w:cs="Times New Roman"/>
          <w:b/>
          <w:bCs/>
          <w:sz w:val="28"/>
          <w:szCs w:val="20"/>
        </w:rPr>
      </w:pPr>
    </w:p>
    <w:p w14:paraId="3318983C">
      <w:pPr>
        <w:pStyle w:val="10"/>
        <w:spacing w:line="440" w:lineRule="exact"/>
        <w:jc w:val="center"/>
        <w:outlineLvl w:val="1"/>
        <w:rPr>
          <w:rFonts w:ascii="Times New Roman" w:hAnsi="Times New Roman" w:eastAsia="黑体" w:cs="Times New Roman"/>
          <w:b/>
          <w:bCs/>
          <w:sz w:val="36"/>
        </w:rPr>
      </w:pPr>
    </w:p>
    <w:p w14:paraId="361BCE11">
      <w:pPr>
        <w:pStyle w:val="10"/>
        <w:spacing w:line="440" w:lineRule="exact"/>
        <w:jc w:val="center"/>
        <w:outlineLvl w:val="1"/>
        <w:rPr>
          <w:rFonts w:ascii="Times New Roman" w:hAnsi="Times New Roman" w:eastAsia="黑体" w:cs="Times New Roman"/>
          <w:b/>
          <w:bCs/>
          <w:sz w:val="36"/>
        </w:rPr>
      </w:pPr>
    </w:p>
    <w:p w14:paraId="65228908">
      <w:pPr>
        <w:pStyle w:val="10"/>
        <w:spacing w:line="440" w:lineRule="exact"/>
        <w:jc w:val="center"/>
        <w:outlineLvl w:val="1"/>
        <w:rPr>
          <w:rFonts w:ascii="Times New Roman" w:hAnsi="Times New Roman" w:eastAsia="黑体" w:cs="Times New Roman"/>
          <w:b/>
          <w:bCs/>
          <w:sz w:val="36"/>
        </w:rPr>
      </w:pPr>
      <w:r>
        <w:rPr>
          <w:rFonts w:hint="eastAsia" w:ascii="Times New Roman" w:hAnsi="Times New Roman" w:eastAsia="黑体" w:cs="Times New Roman"/>
          <w:b/>
          <w:bCs/>
          <w:sz w:val="36"/>
        </w:rPr>
        <w:t xml:space="preserve"> </w:t>
      </w:r>
    </w:p>
    <w:p w14:paraId="103B8AA3">
      <w:pPr>
        <w:rPr>
          <w:rFonts w:eastAsia="黑体"/>
          <w:b/>
          <w:bCs/>
          <w:sz w:val="36"/>
          <w:szCs w:val="22"/>
        </w:rPr>
      </w:pPr>
      <w:r>
        <w:rPr>
          <w:rFonts w:hint="eastAsia" w:eastAsia="黑体"/>
          <w:b/>
          <w:bCs/>
          <w:sz w:val="36"/>
          <w:szCs w:val="22"/>
        </w:rPr>
        <w:br w:type="page"/>
      </w:r>
    </w:p>
    <w:p w14:paraId="68388CC5">
      <w:pPr>
        <w:pStyle w:val="10"/>
        <w:keepNext w:val="0"/>
        <w:keepLines w:val="0"/>
        <w:pageBreakBefore w:val="0"/>
        <w:widowControl w:val="0"/>
        <w:kinsoku/>
        <w:wordWrap/>
        <w:overflowPunct/>
        <w:topLinePunct w:val="0"/>
        <w:autoSpaceDE/>
        <w:autoSpaceDN/>
        <w:bidi w:val="0"/>
        <w:adjustRightInd/>
        <w:snapToGrid/>
        <w:spacing w:line="500" w:lineRule="exact"/>
        <w:jc w:val="center"/>
        <w:textAlignment w:val="auto"/>
        <w:outlineLvl w:val="1"/>
        <w:rPr>
          <w:rFonts w:hAnsi="宋体"/>
          <w:b/>
          <w:bCs/>
          <w:sz w:val="36"/>
          <w:szCs w:val="36"/>
        </w:rPr>
      </w:pPr>
      <w:r>
        <w:rPr>
          <w:rFonts w:hint="eastAsia" w:ascii="Times New Roman" w:hAnsi="Times New Roman" w:eastAsia="黑体" w:cs="Times New Roman"/>
          <w:b/>
          <w:bCs/>
          <w:sz w:val="36"/>
        </w:rPr>
        <w:t>技术协议书</w:t>
      </w:r>
    </w:p>
    <w:p w14:paraId="13D8293F">
      <w:pPr>
        <w:pStyle w:val="10"/>
        <w:keepNext w:val="0"/>
        <w:keepLines w:val="0"/>
        <w:pageBreakBefore w:val="0"/>
        <w:widowControl w:val="0"/>
        <w:kinsoku/>
        <w:wordWrap/>
        <w:overflowPunct/>
        <w:topLinePunct w:val="0"/>
        <w:autoSpaceDE/>
        <w:autoSpaceDN/>
        <w:bidi w:val="0"/>
        <w:adjustRightInd/>
        <w:snapToGrid/>
        <w:spacing w:line="500" w:lineRule="exact"/>
        <w:ind w:left="1031" w:leftChars="200" w:hanging="611" w:hangingChars="290"/>
        <w:textAlignment w:val="auto"/>
        <w:outlineLvl w:val="1"/>
        <w:rPr>
          <w:rFonts w:ascii="黑体" w:hAnsi="黑体" w:eastAsia="黑体"/>
        </w:rPr>
      </w:pPr>
      <w:r>
        <w:rPr>
          <w:rFonts w:hint="eastAsia" w:ascii="黑体" w:hAnsi="黑体" w:eastAsia="黑体"/>
          <w:b/>
          <w:bCs/>
        </w:rPr>
        <w:t>一、项目名称</w:t>
      </w:r>
    </w:p>
    <w:p w14:paraId="76A6B5FF">
      <w:pPr>
        <w:keepNext w:val="0"/>
        <w:keepLines w:val="0"/>
        <w:pageBreakBefore w:val="0"/>
        <w:widowControl w:val="0"/>
        <w:kinsoku/>
        <w:wordWrap/>
        <w:overflowPunct/>
        <w:topLinePunct w:val="0"/>
        <w:autoSpaceDE/>
        <w:autoSpaceDN/>
        <w:bidi w:val="0"/>
        <w:adjustRightInd/>
        <w:snapToGrid/>
        <w:spacing w:line="500" w:lineRule="exact"/>
        <w:ind w:firstLine="420" w:firstLineChars="200"/>
        <w:textAlignment w:val="auto"/>
      </w:pPr>
      <w:r>
        <w:rPr>
          <w:rFonts w:hint="eastAsia" w:ascii="宋体" w:hAnsi="Courier New"/>
        </w:rPr>
        <w:t>2024年班组长集中培训</w:t>
      </w:r>
      <w:r>
        <w:rPr>
          <w:rFonts w:ascii="宋体" w:hAnsi="Courier New"/>
        </w:rPr>
        <w:t>项目</w:t>
      </w:r>
      <w:r>
        <w:rPr>
          <w:rFonts w:hint="eastAsia"/>
        </w:rPr>
        <w:t>。</w:t>
      </w:r>
    </w:p>
    <w:p w14:paraId="205BB98F">
      <w:pPr>
        <w:keepNext w:val="0"/>
        <w:keepLines w:val="0"/>
        <w:pageBreakBefore w:val="0"/>
        <w:widowControl w:val="0"/>
        <w:kinsoku/>
        <w:wordWrap/>
        <w:overflowPunct/>
        <w:topLinePunct w:val="0"/>
        <w:autoSpaceDE/>
        <w:autoSpaceDN/>
        <w:bidi w:val="0"/>
        <w:adjustRightInd/>
        <w:snapToGrid/>
        <w:spacing w:line="500" w:lineRule="exact"/>
        <w:ind w:firstLine="422" w:firstLineChars="200"/>
        <w:textAlignment w:val="auto"/>
        <w:outlineLvl w:val="1"/>
        <w:rPr>
          <w:rFonts w:ascii="黑体" w:hAnsi="黑体" w:eastAsia="黑体"/>
          <w:b/>
          <w:bCs/>
        </w:rPr>
      </w:pPr>
      <w:r>
        <w:rPr>
          <w:rFonts w:hint="eastAsia" w:ascii="黑体" w:hAnsi="黑体" w:eastAsia="黑体" w:cstheme="minorBidi"/>
          <w:b/>
          <w:bCs/>
          <w:szCs w:val="22"/>
        </w:rPr>
        <w:t>二、标的组成及分类</w:t>
      </w:r>
    </w:p>
    <w:p w14:paraId="1C4CCCF1">
      <w:pPr>
        <w:pStyle w:val="10"/>
        <w:keepNext w:val="0"/>
        <w:keepLines w:val="0"/>
        <w:pageBreakBefore w:val="0"/>
        <w:widowControl w:val="0"/>
        <w:kinsoku/>
        <w:wordWrap/>
        <w:overflowPunct/>
        <w:topLinePunct w:val="0"/>
        <w:autoSpaceDE/>
        <w:autoSpaceDN/>
        <w:bidi w:val="0"/>
        <w:adjustRightInd/>
        <w:snapToGrid/>
        <w:spacing w:line="500" w:lineRule="exact"/>
        <w:ind w:firstLine="420" w:firstLineChars="200"/>
        <w:jc w:val="left"/>
        <w:textAlignment w:val="auto"/>
      </w:pPr>
      <w:r>
        <w:rPr>
          <w:rFonts w:hint="eastAsia"/>
        </w:rPr>
        <w:t>2024年班组长培训项目（8小时/天，1期3天，共计15期）。</w:t>
      </w:r>
    </w:p>
    <w:p w14:paraId="24F13779">
      <w:pPr>
        <w:keepNext w:val="0"/>
        <w:keepLines w:val="0"/>
        <w:pageBreakBefore w:val="0"/>
        <w:widowControl w:val="0"/>
        <w:kinsoku/>
        <w:wordWrap/>
        <w:overflowPunct/>
        <w:topLinePunct w:val="0"/>
        <w:autoSpaceDE/>
        <w:autoSpaceDN/>
        <w:bidi w:val="0"/>
        <w:adjustRightInd/>
        <w:snapToGrid/>
        <w:spacing w:line="500" w:lineRule="exact"/>
        <w:ind w:firstLine="422" w:firstLineChars="200"/>
        <w:textAlignment w:val="auto"/>
        <w:outlineLvl w:val="1"/>
        <w:rPr>
          <w:rFonts w:ascii="黑体" w:hAnsi="黑体" w:eastAsia="黑体"/>
          <w:b/>
          <w:bCs/>
        </w:rPr>
      </w:pPr>
      <w:r>
        <w:rPr>
          <w:rFonts w:hint="eastAsia" w:ascii="黑体" w:hAnsi="黑体" w:eastAsia="黑体" w:cstheme="minorBidi"/>
          <w:b/>
          <w:bCs/>
          <w:szCs w:val="22"/>
        </w:rPr>
        <w:t>三、技术要求</w:t>
      </w:r>
    </w:p>
    <w:p w14:paraId="42E00E91">
      <w:pPr>
        <w:keepNext w:val="0"/>
        <w:keepLines w:val="0"/>
        <w:pageBreakBefore w:val="0"/>
        <w:widowControl w:val="0"/>
        <w:kinsoku/>
        <w:wordWrap/>
        <w:overflowPunct/>
        <w:topLinePunct w:val="0"/>
        <w:autoSpaceDE/>
        <w:autoSpaceDN/>
        <w:bidi w:val="0"/>
        <w:adjustRightInd/>
        <w:snapToGrid/>
        <w:spacing w:line="500" w:lineRule="exact"/>
        <w:ind w:firstLine="422" w:firstLineChars="200"/>
        <w:textAlignment w:val="auto"/>
        <w:outlineLvl w:val="2"/>
        <w:rPr>
          <w:rFonts w:ascii="宋体" w:hAnsi="Courier New"/>
          <w:b/>
          <w:bCs/>
        </w:rPr>
      </w:pPr>
      <w:r>
        <w:rPr>
          <w:rFonts w:hint="eastAsia" w:ascii="宋体" w:hAnsi="Courier New"/>
          <w:b/>
          <w:bCs/>
        </w:rPr>
        <w:t>1.课程内容</w:t>
      </w:r>
    </w:p>
    <w:p w14:paraId="3FFF1B3F">
      <w:pPr>
        <w:keepNext w:val="0"/>
        <w:keepLines w:val="0"/>
        <w:pageBreakBefore w:val="0"/>
        <w:widowControl w:val="0"/>
        <w:kinsoku/>
        <w:wordWrap/>
        <w:overflowPunct/>
        <w:topLinePunct w:val="0"/>
        <w:autoSpaceDE/>
        <w:autoSpaceDN/>
        <w:bidi w:val="0"/>
        <w:adjustRightInd/>
        <w:snapToGrid/>
        <w:spacing w:line="500" w:lineRule="exact"/>
        <w:ind w:firstLine="420" w:firstLineChars="200"/>
        <w:textAlignment w:val="auto"/>
      </w:pPr>
      <w:r>
        <w:rPr>
          <w:rFonts w:hint="eastAsia"/>
        </w:rPr>
        <w:t>《卓越班组长的一天》《班组情景沟通》《班组效率提升》</w:t>
      </w:r>
    </w:p>
    <w:p w14:paraId="69092877">
      <w:pPr>
        <w:keepNext w:val="0"/>
        <w:keepLines w:val="0"/>
        <w:pageBreakBefore w:val="0"/>
        <w:widowControl w:val="0"/>
        <w:kinsoku/>
        <w:wordWrap/>
        <w:overflowPunct/>
        <w:topLinePunct w:val="0"/>
        <w:autoSpaceDE/>
        <w:autoSpaceDN/>
        <w:bidi w:val="0"/>
        <w:adjustRightInd/>
        <w:snapToGrid/>
        <w:spacing w:line="500" w:lineRule="exact"/>
        <w:ind w:firstLine="422" w:firstLineChars="200"/>
        <w:textAlignment w:val="auto"/>
        <w:outlineLvl w:val="2"/>
        <w:rPr>
          <w:rFonts w:ascii="宋体" w:hAnsi="Courier New"/>
          <w:b/>
          <w:bCs/>
        </w:rPr>
      </w:pPr>
      <w:r>
        <w:rPr>
          <w:rFonts w:hint="eastAsia" w:ascii="宋体" w:hAnsi="Courier New"/>
          <w:b/>
          <w:bCs/>
        </w:rPr>
        <w:t>2.课程目标</w:t>
      </w:r>
    </w:p>
    <w:p w14:paraId="60BCED90">
      <w:pPr>
        <w:keepNext w:val="0"/>
        <w:keepLines w:val="0"/>
        <w:pageBreakBefore w:val="0"/>
        <w:widowControl w:val="0"/>
        <w:kinsoku/>
        <w:wordWrap/>
        <w:overflowPunct/>
        <w:topLinePunct w:val="0"/>
        <w:autoSpaceDE/>
        <w:autoSpaceDN/>
        <w:bidi w:val="0"/>
        <w:adjustRightInd/>
        <w:snapToGrid/>
        <w:spacing w:line="500" w:lineRule="exact"/>
        <w:ind w:firstLine="422" w:firstLineChars="200"/>
        <w:textAlignment w:val="auto"/>
        <w:rPr>
          <w:rFonts w:ascii="宋体" w:hAnsi="Courier New"/>
          <w:b/>
          <w:bCs/>
        </w:rPr>
      </w:pPr>
      <w:r>
        <w:rPr>
          <w:rFonts w:hint="eastAsia" w:ascii="宋体" w:hAnsi="Courier New"/>
          <w:b/>
          <w:bCs/>
        </w:rPr>
        <w:t>（1）卓越班组长的一天</w:t>
      </w:r>
    </w:p>
    <w:p w14:paraId="24F309EB">
      <w:pPr>
        <w:keepNext w:val="0"/>
        <w:keepLines w:val="0"/>
        <w:pageBreakBefore w:val="0"/>
        <w:widowControl w:val="0"/>
        <w:kinsoku/>
        <w:wordWrap/>
        <w:overflowPunct/>
        <w:topLinePunct w:val="0"/>
        <w:autoSpaceDE/>
        <w:autoSpaceDN/>
        <w:bidi w:val="0"/>
        <w:adjustRightInd/>
        <w:snapToGrid/>
        <w:spacing w:line="500" w:lineRule="exact"/>
        <w:ind w:firstLine="422" w:firstLineChars="200"/>
        <w:textAlignment w:val="auto"/>
        <w:rPr>
          <w:rFonts w:ascii="宋体" w:hAnsi="Courier New"/>
        </w:rPr>
      </w:pPr>
      <w:r>
        <w:rPr>
          <w:rFonts w:hint="eastAsia" w:ascii="宋体" w:hAnsi="Courier New"/>
          <w:b/>
          <w:bCs/>
        </w:rPr>
        <w:t>课程形式：</w:t>
      </w:r>
      <w:r>
        <w:rPr>
          <w:rFonts w:hint="eastAsia" w:ascii="宋体" w:hAnsi="Courier New"/>
        </w:rPr>
        <w:t>沙盘演练</w:t>
      </w:r>
    </w:p>
    <w:p w14:paraId="6662EC6F">
      <w:pPr>
        <w:keepNext w:val="0"/>
        <w:keepLines w:val="0"/>
        <w:pageBreakBefore w:val="0"/>
        <w:widowControl w:val="0"/>
        <w:kinsoku/>
        <w:wordWrap/>
        <w:overflowPunct/>
        <w:topLinePunct w:val="0"/>
        <w:autoSpaceDE/>
        <w:autoSpaceDN/>
        <w:bidi w:val="0"/>
        <w:adjustRightInd/>
        <w:snapToGrid/>
        <w:spacing w:line="500" w:lineRule="exact"/>
        <w:ind w:firstLine="422" w:firstLineChars="200"/>
        <w:textAlignment w:val="auto"/>
        <w:rPr>
          <w:rFonts w:ascii="宋体" w:hAnsi="Courier New"/>
        </w:rPr>
      </w:pPr>
      <w:r>
        <w:rPr>
          <w:rFonts w:hint="eastAsia" w:ascii="宋体" w:hAnsi="Courier New"/>
          <w:b/>
          <w:bCs/>
        </w:rPr>
        <w:t>课程目标：</w:t>
      </w:r>
      <w:r>
        <w:rPr>
          <w:rFonts w:hint="eastAsia" w:ascii="宋体" w:hAnsi="Courier New"/>
        </w:rPr>
        <w:t>构建卓越班组长一天时间管理思维，使其合理安排自己日常工作事务；通过高效开会、巡检现场、处理异常、推动改善活动、工作总结等任务技能，使班组长能在日常工作中实践转化；通过有效执行班组日常任务，提升班组日常工作效能，让班组长能按照要求完成日常工作。</w:t>
      </w:r>
    </w:p>
    <w:p w14:paraId="0CB03F9A">
      <w:pPr>
        <w:keepNext w:val="0"/>
        <w:keepLines w:val="0"/>
        <w:pageBreakBefore w:val="0"/>
        <w:widowControl w:val="0"/>
        <w:kinsoku/>
        <w:wordWrap/>
        <w:overflowPunct/>
        <w:topLinePunct w:val="0"/>
        <w:autoSpaceDE/>
        <w:autoSpaceDN/>
        <w:bidi w:val="0"/>
        <w:adjustRightInd/>
        <w:snapToGrid/>
        <w:spacing w:line="500" w:lineRule="exact"/>
        <w:ind w:firstLine="422" w:firstLineChars="200"/>
        <w:textAlignment w:val="auto"/>
        <w:rPr>
          <w:rFonts w:ascii="宋体" w:hAnsi="Courier New"/>
        </w:rPr>
      </w:pPr>
      <w:r>
        <w:rPr>
          <w:rFonts w:hint="eastAsia" w:ascii="宋体" w:hAnsi="Courier New"/>
          <w:b/>
          <w:bCs/>
        </w:rPr>
        <w:t>课程内容：</w:t>
      </w:r>
      <w:r>
        <w:rPr>
          <w:rFonts w:hint="eastAsia" w:ascii="宋体" w:hAnsi="Courier New"/>
        </w:rPr>
        <w:t>班组长日常管理基础，导入基于时间管理合理判断班组日常任务的标准；如何高效开会，讲授交接班的要求、标准、具体方法；如何巡检现场，讲授巡检现场的目标、巡检的具体方法；如何处理异常，讲授班组长异常处理的策略及具体方法；如何推动改善活动，讲授班组长层面推进现场改善的核心策略；如何进行工作总结，讲授班组长日常工作总结的类型、策略及总结方法。</w:t>
      </w:r>
    </w:p>
    <w:p w14:paraId="3229F4E4">
      <w:pPr>
        <w:keepNext w:val="0"/>
        <w:keepLines w:val="0"/>
        <w:pageBreakBefore w:val="0"/>
        <w:widowControl w:val="0"/>
        <w:kinsoku/>
        <w:wordWrap/>
        <w:overflowPunct/>
        <w:topLinePunct w:val="0"/>
        <w:autoSpaceDE/>
        <w:autoSpaceDN/>
        <w:bidi w:val="0"/>
        <w:adjustRightInd/>
        <w:snapToGrid/>
        <w:spacing w:line="500" w:lineRule="exact"/>
        <w:ind w:firstLine="422" w:firstLineChars="200"/>
        <w:textAlignment w:val="auto"/>
        <w:rPr>
          <w:rFonts w:ascii="宋体" w:hAnsi="Courier New"/>
          <w:b/>
          <w:bCs/>
        </w:rPr>
      </w:pPr>
      <w:r>
        <w:rPr>
          <w:rFonts w:hint="eastAsia" w:ascii="宋体" w:hAnsi="Courier New"/>
          <w:b/>
          <w:bCs/>
        </w:rPr>
        <w:t>（2）班组情景沟通</w:t>
      </w:r>
    </w:p>
    <w:p w14:paraId="39D49AEA">
      <w:pPr>
        <w:keepNext w:val="0"/>
        <w:keepLines w:val="0"/>
        <w:pageBreakBefore w:val="0"/>
        <w:widowControl w:val="0"/>
        <w:kinsoku/>
        <w:wordWrap/>
        <w:overflowPunct/>
        <w:topLinePunct w:val="0"/>
        <w:autoSpaceDE/>
        <w:autoSpaceDN/>
        <w:bidi w:val="0"/>
        <w:adjustRightInd/>
        <w:snapToGrid/>
        <w:spacing w:line="500" w:lineRule="exact"/>
        <w:ind w:firstLine="422" w:firstLineChars="200"/>
        <w:textAlignment w:val="auto"/>
        <w:rPr>
          <w:rFonts w:ascii="宋体" w:hAnsi="Courier New"/>
        </w:rPr>
      </w:pPr>
      <w:r>
        <w:rPr>
          <w:rFonts w:hint="eastAsia" w:ascii="宋体" w:hAnsi="Courier New"/>
          <w:b/>
          <w:bCs/>
        </w:rPr>
        <w:t>课程形式：</w:t>
      </w:r>
      <w:r>
        <w:rPr>
          <w:rFonts w:hint="eastAsia" w:ascii="宋体" w:hAnsi="Courier New"/>
        </w:rPr>
        <w:t>课程讲授及情景演练</w:t>
      </w:r>
    </w:p>
    <w:p w14:paraId="4D7396C0">
      <w:pPr>
        <w:keepNext w:val="0"/>
        <w:keepLines w:val="0"/>
        <w:pageBreakBefore w:val="0"/>
        <w:widowControl w:val="0"/>
        <w:kinsoku/>
        <w:wordWrap/>
        <w:overflowPunct/>
        <w:topLinePunct w:val="0"/>
        <w:autoSpaceDE/>
        <w:autoSpaceDN/>
        <w:bidi w:val="0"/>
        <w:adjustRightInd/>
        <w:snapToGrid/>
        <w:spacing w:line="500" w:lineRule="exact"/>
        <w:ind w:firstLine="422" w:firstLineChars="200"/>
        <w:textAlignment w:val="auto"/>
        <w:rPr>
          <w:rFonts w:ascii="宋体" w:hAnsi="Courier New"/>
        </w:rPr>
      </w:pPr>
      <w:r>
        <w:rPr>
          <w:rFonts w:hint="eastAsia" w:ascii="宋体" w:hAnsi="Courier New"/>
          <w:b/>
          <w:bCs/>
        </w:rPr>
        <w:t>课程目标：</w:t>
      </w:r>
      <w:r>
        <w:rPr>
          <w:rFonts w:hint="eastAsia" w:ascii="宋体" w:hAnsi="Courier New"/>
        </w:rPr>
        <w:t>构建卓越班组长日常工作的沟通思维，使其合理应用沟通工具方法，提升班组沟通能力；通过掌握情景沟通的技能，掌握班组日常沟通的策略和方法，关联重汽班组长日常沟通场景，使班组长能在日常工作中实践转化；通过有效执行班组长沟通方法，提升班组长日常沟通效率，让班组长在日常对上、对下、跨部门沟通过程中更顺畅。</w:t>
      </w:r>
    </w:p>
    <w:p w14:paraId="2503A329">
      <w:pPr>
        <w:keepNext w:val="0"/>
        <w:keepLines w:val="0"/>
        <w:pageBreakBefore w:val="0"/>
        <w:widowControl w:val="0"/>
        <w:kinsoku/>
        <w:wordWrap/>
        <w:overflowPunct/>
        <w:topLinePunct w:val="0"/>
        <w:autoSpaceDE/>
        <w:autoSpaceDN/>
        <w:bidi w:val="0"/>
        <w:adjustRightInd/>
        <w:snapToGrid/>
        <w:spacing w:line="500" w:lineRule="exact"/>
        <w:ind w:firstLine="422" w:firstLineChars="200"/>
        <w:textAlignment w:val="auto"/>
        <w:rPr>
          <w:rFonts w:ascii="宋体" w:hAnsi="Courier New"/>
        </w:rPr>
      </w:pPr>
      <w:r>
        <w:rPr>
          <w:rFonts w:hint="eastAsia" w:ascii="宋体" w:hAnsi="Courier New"/>
          <w:b/>
          <w:bCs/>
        </w:rPr>
        <w:t>课程内容：</w:t>
      </w:r>
      <w:r>
        <w:rPr>
          <w:rFonts w:hint="eastAsia" w:ascii="宋体" w:hAnsi="Courier New"/>
        </w:rPr>
        <w:t>班长日常沟通场景识别，讲授班组长日常沟通准则，识别班组长日常沟通核心场景；如何清晰布置任务，讲授班长布置任务的策略及方法；如何向上汇报，讲授日常工作汇报的改善方向、工作汇报的策略及方法；如何对员工行为进行反馈，讲授班组长日常对员工行为进行反馈的核心方法；如何调节员工情绪，讲授处理员工情绪的核心方法；如何解决冲突和推动工作协作，讲授班组长日常冲突处理的策略及跨部门推动工作协作的方法。</w:t>
      </w:r>
    </w:p>
    <w:p w14:paraId="2D1757EF">
      <w:pPr>
        <w:keepNext w:val="0"/>
        <w:keepLines w:val="0"/>
        <w:pageBreakBefore w:val="0"/>
        <w:widowControl w:val="0"/>
        <w:kinsoku/>
        <w:wordWrap/>
        <w:overflowPunct/>
        <w:topLinePunct w:val="0"/>
        <w:autoSpaceDE/>
        <w:autoSpaceDN/>
        <w:bidi w:val="0"/>
        <w:adjustRightInd/>
        <w:snapToGrid/>
        <w:spacing w:line="500" w:lineRule="exact"/>
        <w:ind w:firstLine="422" w:firstLineChars="200"/>
        <w:textAlignment w:val="auto"/>
        <w:rPr>
          <w:rFonts w:ascii="宋体" w:hAnsi="Courier New"/>
          <w:b/>
          <w:bCs/>
        </w:rPr>
      </w:pPr>
      <w:r>
        <w:rPr>
          <w:rFonts w:hint="eastAsia" w:ascii="宋体" w:hAnsi="Courier New"/>
          <w:b/>
          <w:bCs/>
        </w:rPr>
        <w:t>（3）班组效率提升</w:t>
      </w:r>
    </w:p>
    <w:p w14:paraId="5752DC27">
      <w:pPr>
        <w:keepNext w:val="0"/>
        <w:keepLines w:val="0"/>
        <w:pageBreakBefore w:val="0"/>
        <w:widowControl w:val="0"/>
        <w:kinsoku/>
        <w:wordWrap/>
        <w:overflowPunct/>
        <w:topLinePunct w:val="0"/>
        <w:autoSpaceDE/>
        <w:autoSpaceDN/>
        <w:bidi w:val="0"/>
        <w:adjustRightInd/>
        <w:snapToGrid/>
        <w:spacing w:line="500" w:lineRule="exact"/>
        <w:ind w:firstLine="422" w:firstLineChars="200"/>
        <w:textAlignment w:val="auto"/>
        <w:rPr>
          <w:rFonts w:ascii="宋体" w:hAnsi="Courier New"/>
        </w:rPr>
      </w:pPr>
      <w:r>
        <w:rPr>
          <w:rFonts w:hint="eastAsia" w:ascii="宋体" w:hAnsi="Courier New"/>
          <w:b/>
          <w:bCs/>
        </w:rPr>
        <w:t>课程形式：</w:t>
      </w:r>
      <w:r>
        <w:rPr>
          <w:rFonts w:hint="eastAsia" w:ascii="宋体" w:hAnsi="Courier New"/>
        </w:rPr>
        <w:t>课程讲授及情景演练</w:t>
      </w:r>
    </w:p>
    <w:p w14:paraId="01EA1D3F">
      <w:pPr>
        <w:keepNext w:val="0"/>
        <w:keepLines w:val="0"/>
        <w:pageBreakBefore w:val="0"/>
        <w:widowControl w:val="0"/>
        <w:kinsoku/>
        <w:wordWrap/>
        <w:overflowPunct/>
        <w:topLinePunct w:val="0"/>
        <w:autoSpaceDE/>
        <w:autoSpaceDN/>
        <w:bidi w:val="0"/>
        <w:adjustRightInd/>
        <w:snapToGrid/>
        <w:spacing w:line="500" w:lineRule="exact"/>
        <w:ind w:firstLine="422" w:firstLineChars="200"/>
        <w:textAlignment w:val="auto"/>
        <w:rPr>
          <w:rFonts w:ascii="宋体" w:hAnsi="Courier New"/>
        </w:rPr>
      </w:pPr>
      <w:r>
        <w:rPr>
          <w:rFonts w:hint="eastAsia" w:ascii="宋体" w:hAnsi="Courier New"/>
          <w:b/>
          <w:bCs/>
        </w:rPr>
        <w:t>课程目标：</w:t>
      </w:r>
      <w:r>
        <w:rPr>
          <w:rFonts w:hint="eastAsia" w:ascii="宋体" w:hAnsi="Courier New"/>
        </w:rPr>
        <w:t>构建卓越班组长现场效率提升的思维，使其合理应用效率提升的工具方法，提升班组日常工作效率；通过掌握班组效率提升的策略及方法，关联重汽班组现场工作场景，使班组长能在日常工作中实践转化；通过有效执行班组效率提升的方法，结合重汽HOS精益推进体系，让班组现场工作效率稳步提升。</w:t>
      </w:r>
    </w:p>
    <w:p w14:paraId="49EFF8FB">
      <w:pPr>
        <w:keepNext w:val="0"/>
        <w:keepLines w:val="0"/>
        <w:pageBreakBefore w:val="0"/>
        <w:widowControl w:val="0"/>
        <w:kinsoku/>
        <w:wordWrap/>
        <w:overflowPunct/>
        <w:topLinePunct w:val="0"/>
        <w:autoSpaceDE/>
        <w:autoSpaceDN/>
        <w:bidi w:val="0"/>
        <w:adjustRightInd/>
        <w:snapToGrid/>
        <w:spacing w:line="500" w:lineRule="exact"/>
        <w:ind w:firstLine="422" w:firstLineChars="200"/>
        <w:textAlignment w:val="auto"/>
        <w:rPr>
          <w:rFonts w:ascii="宋体" w:hAnsi="Courier New"/>
        </w:rPr>
      </w:pPr>
      <w:r>
        <w:rPr>
          <w:rFonts w:hint="eastAsia" w:ascii="宋体" w:hAnsi="Courier New"/>
          <w:b/>
          <w:bCs/>
        </w:rPr>
        <w:t>课程内容:</w:t>
      </w:r>
      <w:r>
        <w:rPr>
          <w:rFonts w:hint="eastAsia" w:ascii="宋体" w:hAnsi="Courier New"/>
        </w:rPr>
        <w:t>班组效率的基础，讲授班组长现场效率的指标体系，构建班组效率提升认知体系；认知和消除浪费，讲授浪费的定义、浪费识别和消除的方法；工位布局方法，讲授工位布局的要点及方法；作业动作设计原则，讲授人员效率提升的衡量指标、提升方法；现场视觉方法，讲授现场视觉管理的底层逻辑、现场视觉管理的类型、方法；现场防错方法应用，讲授现场防错方法的原理、基于实践的具体防错方法。</w:t>
      </w:r>
      <w:r>
        <w:rPr>
          <w:rFonts w:ascii="宋体" w:hAnsi="Courier New"/>
        </w:rPr>
        <w:tab/>
      </w:r>
    </w:p>
    <w:p w14:paraId="21FB4BAF">
      <w:pPr>
        <w:keepNext w:val="0"/>
        <w:keepLines w:val="0"/>
        <w:pageBreakBefore w:val="0"/>
        <w:widowControl w:val="0"/>
        <w:kinsoku/>
        <w:wordWrap/>
        <w:overflowPunct/>
        <w:topLinePunct w:val="0"/>
        <w:autoSpaceDE/>
        <w:autoSpaceDN/>
        <w:bidi w:val="0"/>
        <w:adjustRightInd/>
        <w:snapToGrid/>
        <w:spacing w:line="500" w:lineRule="exact"/>
        <w:ind w:firstLine="422" w:firstLineChars="200"/>
        <w:textAlignment w:val="auto"/>
        <w:outlineLvl w:val="2"/>
        <w:rPr>
          <w:rFonts w:ascii="宋体" w:hAnsi="Courier New"/>
          <w:b/>
          <w:bCs/>
        </w:rPr>
      </w:pPr>
      <w:r>
        <w:rPr>
          <w:rFonts w:hint="eastAsia" w:ascii="宋体" w:hAnsi="Courier New"/>
          <w:b/>
          <w:bCs/>
        </w:rPr>
        <w:t>3.相关要求</w:t>
      </w:r>
    </w:p>
    <w:p w14:paraId="456572C9">
      <w:pPr>
        <w:keepNext w:val="0"/>
        <w:keepLines w:val="0"/>
        <w:pageBreakBefore w:val="0"/>
        <w:widowControl w:val="0"/>
        <w:kinsoku/>
        <w:wordWrap/>
        <w:overflowPunct/>
        <w:topLinePunct w:val="0"/>
        <w:autoSpaceDE/>
        <w:autoSpaceDN/>
        <w:bidi w:val="0"/>
        <w:adjustRightInd/>
        <w:snapToGrid/>
        <w:spacing w:line="500" w:lineRule="exact"/>
        <w:ind w:firstLine="420" w:firstLineChars="200"/>
        <w:textAlignment w:val="auto"/>
        <w:rPr>
          <w:rFonts w:ascii="宋体" w:hAnsi="Courier New"/>
        </w:rPr>
      </w:pPr>
      <w:r>
        <w:rPr>
          <w:rFonts w:hint="eastAsia" w:ascii="宋体" w:hAnsi="Courier New"/>
        </w:rPr>
        <w:t>（1）出具详实的课程方案、价格方案。课程应根据中国重汽企业实际情况所设计，具有实战性和操作性。项目运营必须包含课前调研准备、课前实施预热、课中培训赋能、课中汇报总结、课后行动实践、课后实践跟进反馈、课程核心知识点萃取提炼。</w:t>
      </w:r>
    </w:p>
    <w:p w14:paraId="60160AE2">
      <w:pPr>
        <w:keepNext w:val="0"/>
        <w:keepLines w:val="0"/>
        <w:pageBreakBefore w:val="0"/>
        <w:widowControl w:val="0"/>
        <w:kinsoku/>
        <w:wordWrap/>
        <w:overflowPunct/>
        <w:topLinePunct w:val="0"/>
        <w:autoSpaceDE/>
        <w:autoSpaceDN/>
        <w:bidi w:val="0"/>
        <w:adjustRightInd/>
        <w:snapToGrid/>
        <w:spacing w:line="500" w:lineRule="exact"/>
        <w:ind w:firstLine="420" w:firstLineChars="200"/>
        <w:textAlignment w:val="auto"/>
        <w:rPr>
          <w:rFonts w:ascii="宋体" w:hAnsi="Courier New"/>
        </w:rPr>
      </w:pPr>
      <w:r>
        <w:rPr>
          <w:rFonts w:hint="eastAsia" w:ascii="宋体" w:hAnsi="Courier New"/>
        </w:rPr>
        <w:t>（2）</w:t>
      </w:r>
      <w:r>
        <w:rPr>
          <w:rFonts w:hint="eastAsia" w:ascii="黑体" w:hAnsi="黑体" w:eastAsia="黑体" w:cs="黑体"/>
          <w:b/>
          <w:bCs/>
        </w:rPr>
        <w:t>培训讲师应具有5年以上的培训经验，</w:t>
      </w:r>
      <w:r>
        <w:rPr>
          <w:rFonts w:hint="eastAsia" w:ascii="宋体" w:hAnsi="Courier New"/>
        </w:rPr>
        <w:t>具有把教学内容与实践能力相结合的能力，可以将理论知识演绎得生动易懂。</w:t>
      </w:r>
      <w:r>
        <w:rPr>
          <w:rFonts w:hint="eastAsia" w:ascii="黑体" w:hAnsi="黑体" w:eastAsia="黑体" w:cs="黑体"/>
          <w:b/>
          <w:bCs/>
        </w:rPr>
        <w:t>提供至少5位讲师进行师资储备，</w:t>
      </w:r>
      <w:r>
        <w:rPr>
          <w:rFonts w:hint="eastAsia" w:ascii="宋体" w:hAnsi="Courier New"/>
        </w:rPr>
        <w:t>并保障课程设计到执行的统一性，授课老师课前需进行课程认证，经中国重汽审核通过后才可进行授课。</w:t>
      </w:r>
    </w:p>
    <w:p w14:paraId="7BFBFD94">
      <w:pPr>
        <w:keepNext w:val="0"/>
        <w:keepLines w:val="0"/>
        <w:pageBreakBefore w:val="0"/>
        <w:widowControl w:val="0"/>
        <w:kinsoku/>
        <w:wordWrap/>
        <w:overflowPunct/>
        <w:topLinePunct w:val="0"/>
        <w:autoSpaceDE/>
        <w:autoSpaceDN/>
        <w:bidi w:val="0"/>
        <w:adjustRightInd/>
        <w:snapToGrid/>
        <w:spacing w:line="500" w:lineRule="exact"/>
        <w:ind w:firstLine="420" w:firstLineChars="200"/>
        <w:textAlignment w:val="auto"/>
        <w:rPr>
          <w:rFonts w:ascii="宋体" w:hAnsi="Courier New"/>
        </w:rPr>
      </w:pPr>
      <w:r>
        <w:rPr>
          <w:rFonts w:hint="eastAsia" w:ascii="宋体" w:hAnsi="Courier New"/>
        </w:rPr>
        <w:t>（</w:t>
      </w:r>
      <w:r>
        <w:rPr>
          <w:rFonts w:ascii="宋体" w:hAnsi="Courier New"/>
        </w:rPr>
        <w:t>3</w:t>
      </w:r>
      <w:r>
        <w:rPr>
          <w:rFonts w:hint="eastAsia" w:ascii="宋体" w:hAnsi="Courier New"/>
        </w:rPr>
        <w:t>）培训师应极为重视和学员之间的互动交流，以此来激发学员充分参与，提高学员关注度，达到最佳的授课效果。</w:t>
      </w:r>
    </w:p>
    <w:p w14:paraId="207D76FD">
      <w:pPr>
        <w:keepNext w:val="0"/>
        <w:keepLines w:val="0"/>
        <w:pageBreakBefore w:val="0"/>
        <w:widowControl w:val="0"/>
        <w:kinsoku/>
        <w:wordWrap/>
        <w:overflowPunct/>
        <w:topLinePunct w:val="0"/>
        <w:autoSpaceDE/>
        <w:autoSpaceDN/>
        <w:bidi w:val="0"/>
        <w:adjustRightInd/>
        <w:snapToGrid/>
        <w:spacing w:line="500" w:lineRule="exact"/>
        <w:ind w:firstLine="422" w:firstLineChars="200"/>
        <w:textAlignment w:val="auto"/>
        <w:rPr>
          <w:rFonts w:ascii="宋体" w:hAnsi="Courier New"/>
        </w:rPr>
      </w:pPr>
      <w:r>
        <w:rPr>
          <w:rFonts w:hint="eastAsia" w:ascii="黑体" w:hAnsi="黑体" w:eastAsia="黑体" w:cs="黑体"/>
          <w:b/>
          <w:bCs/>
        </w:rPr>
        <w:t>（4）如培训过程中，对乙方的培训效果进行现场评价，评价采取计分法，满分为100分。得分&gt;85分的，按合同履行金额100%支付；80≤总得分&lt;85分，按合同履行金额80%支付；总得分&lt;80分，按合同履行金额60%支付，并取消其继续合作资格，视情况列入重汽供应商黑名单。</w:t>
      </w:r>
    </w:p>
    <w:p w14:paraId="1C380CB7">
      <w:pPr>
        <w:keepNext w:val="0"/>
        <w:keepLines w:val="0"/>
        <w:pageBreakBefore w:val="0"/>
        <w:widowControl w:val="0"/>
        <w:kinsoku/>
        <w:wordWrap/>
        <w:overflowPunct/>
        <w:topLinePunct w:val="0"/>
        <w:autoSpaceDE/>
        <w:autoSpaceDN/>
        <w:bidi w:val="0"/>
        <w:adjustRightInd/>
        <w:snapToGrid/>
        <w:spacing w:line="500" w:lineRule="exact"/>
        <w:ind w:firstLine="420" w:firstLineChars="200"/>
        <w:textAlignment w:val="auto"/>
        <w:rPr>
          <w:rFonts w:hint="default" w:ascii="宋体" w:hAnsi="Courier New" w:eastAsia="宋体"/>
          <w:lang w:val="en-US" w:eastAsia="zh-CN"/>
        </w:rPr>
      </w:pPr>
      <w:r>
        <w:rPr>
          <w:rFonts w:hint="eastAsia" w:ascii="宋体" w:hAnsi="Courier New"/>
        </w:rPr>
        <w:t>（5）中标方应指定一名经验丰富的工作人员负责与中国重汽集团沟通和联络，每期培训前应根据中国重汽集团的要求，制定好培训计划及授课前的各项准备工作，培训现场除培训师之外应确保有1名工作人员布置会场、教具准备和签到等工作</w:t>
      </w:r>
      <w:r>
        <w:rPr>
          <w:rFonts w:hint="eastAsia" w:ascii="宋体" w:hAnsi="Courier New"/>
          <w:lang w:eastAsia="zh-CN"/>
        </w:rPr>
        <w:t>，</w:t>
      </w:r>
      <w:r>
        <w:rPr>
          <w:rFonts w:hint="eastAsia" w:ascii="宋体" w:hAnsi="Courier New"/>
          <w:lang w:val="en-US" w:eastAsia="zh-CN"/>
        </w:rPr>
        <w:t>协助招标方完成第4天的结业汇报。</w:t>
      </w:r>
    </w:p>
    <w:p w14:paraId="3CF45939">
      <w:pPr>
        <w:keepNext w:val="0"/>
        <w:keepLines w:val="0"/>
        <w:pageBreakBefore w:val="0"/>
        <w:widowControl w:val="0"/>
        <w:kinsoku/>
        <w:wordWrap/>
        <w:overflowPunct/>
        <w:topLinePunct w:val="0"/>
        <w:autoSpaceDE/>
        <w:autoSpaceDN/>
        <w:bidi w:val="0"/>
        <w:adjustRightInd/>
        <w:snapToGrid/>
        <w:spacing w:line="500" w:lineRule="exact"/>
        <w:ind w:firstLine="420" w:firstLineChars="200"/>
        <w:textAlignment w:val="auto"/>
        <w:rPr>
          <w:rFonts w:ascii="方正小标宋简体" w:hAnsi="方正小标宋简体" w:eastAsia="方正小标宋简体" w:cs="方正小标宋简体"/>
          <w:sz w:val="40"/>
          <w:szCs w:val="21"/>
        </w:rPr>
      </w:pPr>
      <w:r>
        <w:rPr>
          <w:rFonts w:hint="eastAsia" w:ascii="宋体" w:hAnsi="Courier New"/>
        </w:rPr>
        <w:t>（6</w:t>
      </w:r>
      <w:r>
        <w:rPr>
          <w:rFonts w:ascii="宋体" w:hAnsi="Courier New"/>
        </w:rPr>
        <w:t>）</w:t>
      </w:r>
      <w:r>
        <w:rPr>
          <w:rFonts w:hint="eastAsia" w:ascii="宋体" w:hAnsi="Courier New"/>
        </w:rPr>
        <w:t>按照</w:t>
      </w:r>
      <w:r>
        <w:rPr>
          <w:rFonts w:hint="eastAsia" w:ascii="宋体" w:hAnsi="Courier New"/>
          <w:lang w:val="en-US" w:eastAsia="zh-CN"/>
        </w:rPr>
        <w:t>招标方</w:t>
      </w:r>
      <w:r>
        <w:rPr>
          <w:rFonts w:hint="eastAsia" w:ascii="宋体" w:hAnsi="Courier New"/>
        </w:rPr>
        <w:t>要求提供培训合格证书，提供结业优秀学员奖品</w:t>
      </w:r>
      <w:r>
        <w:rPr>
          <w:rFonts w:ascii="宋体" w:hAnsi="Courier New"/>
        </w:rPr>
        <w:t>。</w:t>
      </w:r>
      <w:bookmarkStart w:id="20" w:name="_Toc15177"/>
    </w:p>
    <w:p w14:paraId="62F81928">
      <w:pPr>
        <w:spacing w:before="118"/>
        <w:ind w:right="30"/>
        <w:jc w:val="center"/>
        <w:outlineLvl w:val="0"/>
        <w:rPr>
          <w:rFonts w:ascii="楷体" w:hAnsi="楷体" w:eastAsia="楷体" w:cs="楷体"/>
          <w:sz w:val="40"/>
          <w:szCs w:val="21"/>
        </w:rPr>
      </w:pPr>
      <w:r>
        <w:rPr>
          <w:rFonts w:hint="eastAsia" w:ascii="方正小标宋简体" w:hAnsi="方正小标宋简体" w:eastAsia="方正小标宋简体" w:cs="方正小标宋简体"/>
          <w:sz w:val="40"/>
          <w:szCs w:val="21"/>
        </w:rPr>
        <w:t>廉洁诚信协议</w:t>
      </w:r>
      <w:bookmarkEnd w:id="20"/>
    </w:p>
    <w:p w14:paraId="22A9B1C3">
      <w:pPr>
        <w:pStyle w:val="7"/>
        <w:spacing w:before="8"/>
        <w:rPr>
          <w:rFonts w:ascii="楷体" w:hAnsi="楷体" w:eastAsia="楷体" w:cs="楷体"/>
          <w:sz w:val="44"/>
          <w:szCs w:val="28"/>
        </w:rPr>
      </w:pPr>
    </w:p>
    <w:p w14:paraId="50314621">
      <w:pPr>
        <w:spacing w:line="607" w:lineRule="auto"/>
        <w:ind w:left="117" w:right="3769"/>
        <w:rPr>
          <w:rFonts w:ascii="楷体" w:hAnsi="楷体" w:eastAsia="楷体" w:cs="楷体"/>
          <w:b/>
          <w:sz w:val="28"/>
          <w:szCs w:val="21"/>
        </w:rPr>
      </w:pPr>
      <w:r>
        <w:rPr>
          <w:rFonts w:hint="eastAsia" w:ascii="楷体" w:hAnsi="楷体" w:eastAsia="楷体" w:cs="楷体"/>
          <w:b/>
          <w:sz w:val="28"/>
          <w:szCs w:val="21"/>
        </w:rPr>
        <w:t>甲方：</w:t>
      </w:r>
    </w:p>
    <w:p w14:paraId="51AF56B5">
      <w:pPr>
        <w:spacing w:line="607" w:lineRule="auto"/>
        <w:ind w:left="117" w:right="3769"/>
        <w:rPr>
          <w:rFonts w:ascii="楷体" w:hAnsi="楷体" w:eastAsia="楷体" w:cs="楷体"/>
          <w:b/>
          <w:sz w:val="28"/>
          <w:szCs w:val="21"/>
        </w:rPr>
      </w:pPr>
      <w:r>
        <w:rPr>
          <w:rFonts w:hint="eastAsia" w:ascii="楷体" w:hAnsi="楷体" w:eastAsia="楷体" w:cs="楷体"/>
          <w:b/>
          <w:sz w:val="28"/>
          <w:szCs w:val="21"/>
        </w:rPr>
        <w:t>乙方：</w:t>
      </w:r>
    </w:p>
    <w:p w14:paraId="5A173BCD">
      <w:pPr>
        <w:pStyle w:val="40"/>
        <w:tabs>
          <w:tab w:val="left" w:pos="1244"/>
        </w:tabs>
        <w:adjustRightInd w:val="0"/>
        <w:spacing w:line="305" w:lineRule="auto"/>
        <w:ind w:firstLine="552"/>
        <w:rPr>
          <w:rFonts w:ascii="楷体" w:hAnsi="楷体" w:eastAsia="楷体" w:cs="楷体"/>
          <w:spacing w:val="-2"/>
          <w:sz w:val="28"/>
          <w:szCs w:val="28"/>
        </w:rPr>
      </w:pPr>
      <w:r>
        <w:rPr>
          <w:rFonts w:hint="eastAsia" w:ascii="楷体" w:hAnsi="楷体" w:eastAsia="楷体" w:cs="楷体"/>
          <w:spacing w:val="-2"/>
          <w:sz w:val="28"/>
          <w:szCs w:val="28"/>
        </w:rPr>
        <w:t>乙方是甲方或甲方全资、控股、参股企业的供应商、服务商或采购商、经销商，甲方作为采购方或销售方（包含甲方及其关联企业，以下统称甲方），为保证双方长期稳定合作和健康发展，保证各合作主体之间公平、公正、公开的良性竞争，共同抵制商业贿赂等一切不正当行为，营造诚实信用的商业氛围，积极维护双方信誉</w:t>
      </w:r>
      <w:r>
        <w:rPr>
          <w:rFonts w:ascii="楷体" w:hAnsi="楷体" w:eastAsia="楷体" w:cs="楷体"/>
          <w:spacing w:val="-2"/>
          <w:sz w:val="28"/>
          <w:szCs w:val="28"/>
        </w:rPr>
        <w:t>,共同加强廉洁自律建设，甲乙双方在平等、自愿、协商一致的原则下，签订本协议。</w:t>
      </w:r>
    </w:p>
    <w:p w14:paraId="687017C3">
      <w:pPr>
        <w:pStyle w:val="40"/>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1.甲乙双方应当共同遵守国家、地方法律法规以及本协议的约定，在合同的订立、履行过程中廉洁自律，绝不弄虚作假、以次充好，虚结虚算。</w:t>
      </w:r>
    </w:p>
    <w:p w14:paraId="69EA4B0F">
      <w:pPr>
        <w:pStyle w:val="40"/>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2.乙方声明并承诺甲方人员或其</w:t>
      </w:r>
      <w:r>
        <w:rPr>
          <w:rFonts w:hint="eastAsia" w:ascii="楷体" w:hAnsi="楷体" w:eastAsia="楷体" w:cs="楷体"/>
          <w:spacing w:val="-2"/>
          <w:sz w:val="28"/>
          <w:szCs w:val="28"/>
        </w:rPr>
        <w:t>配偶、子女及其配偶等</w:t>
      </w:r>
      <w:r>
        <w:rPr>
          <w:rFonts w:ascii="楷体" w:hAnsi="楷体" w:eastAsia="楷体" w:cs="楷体"/>
          <w:spacing w:val="-2"/>
          <w:sz w:val="28"/>
          <w:szCs w:val="28"/>
        </w:rPr>
        <w:t>亲属</w:t>
      </w:r>
      <w:r>
        <w:rPr>
          <w:rFonts w:hint="eastAsia" w:ascii="楷体" w:hAnsi="楷体" w:eastAsia="楷体" w:cs="楷体"/>
          <w:spacing w:val="-2"/>
          <w:sz w:val="28"/>
          <w:szCs w:val="28"/>
        </w:rPr>
        <w:t>和其他特定关系人（甲方人员为领导干部的，其他特定关系人包含身边工作人员）</w:t>
      </w:r>
      <w:r>
        <w:rPr>
          <w:rFonts w:ascii="楷体" w:hAnsi="楷体" w:eastAsia="楷体" w:cs="楷体"/>
          <w:spacing w:val="-2"/>
          <w:sz w:val="28"/>
          <w:szCs w:val="28"/>
        </w:rPr>
        <w:t>没有直接或间接投资乙方或持有乙方股权，没有直接或间接投资乙方关联企业或持有乙方关联企业股权。</w:t>
      </w:r>
    </w:p>
    <w:p w14:paraId="2DADF706">
      <w:pPr>
        <w:pStyle w:val="40"/>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3.乙方承诺乙方或乙方关联企业股东、实际出资人或持股人、高管、主要业务人员不得与甲方人员或其</w:t>
      </w:r>
      <w:r>
        <w:rPr>
          <w:rFonts w:hint="eastAsia" w:ascii="楷体" w:hAnsi="楷体" w:eastAsia="楷体" w:cs="楷体"/>
          <w:spacing w:val="-2"/>
          <w:sz w:val="28"/>
          <w:szCs w:val="28"/>
        </w:rPr>
        <w:t>配偶、子女及其配偶等</w:t>
      </w:r>
      <w:r>
        <w:rPr>
          <w:rFonts w:ascii="楷体" w:hAnsi="楷体" w:eastAsia="楷体" w:cs="楷体"/>
          <w:spacing w:val="-2"/>
          <w:sz w:val="28"/>
          <w:szCs w:val="28"/>
        </w:rPr>
        <w:t>亲属</w:t>
      </w:r>
      <w:r>
        <w:rPr>
          <w:rFonts w:hint="eastAsia" w:ascii="楷体" w:hAnsi="楷体" w:eastAsia="楷体" w:cs="楷体"/>
          <w:spacing w:val="-2"/>
          <w:sz w:val="28"/>
          <w:szCs w:val="28"/>
        </w:rPr>
        <w:t>和其他特定关系人</w:t>
      </w:r>
      <w:r>
        <w:rPr>
          <w:rFonts w:ascii="楷体" w:hAnsi="楷体" w:eastAsia="楷体" w:cs="楷体"/>
          <w:spacing w:val="-2"/>
          <w:sz w:val="28"/>
          <w:szCs w:val="28"/>
        </w:rPr>
        <w:t>共同成立公司，不得聘请甲方人员或其</w:t>
      </w:r>
      <w:r>
        <w:rPr>
          <w:rFonts w:hint="eastAsia" w:ascii="楷体" w:hAnsi="楷体" w:eastAsia="楷体" w:cs="楷体"/>
          <w:spacing w:val="-2"/>
          <w:sz w:val="28"/>
          <w:szCs w:val="28"/>
        </w:rPr>
        <w:t>配偶、子女及其配偶等</w:t>
      </w:r>
      <w:r>
        <w:rPr>
          <w:rFonts w:ascii="楷体" w:hAnsi="楷体" w:eastAsia="楷体" w:cs="楷体"/>
          <w:spacing w:val="-2"/>
          <w:sz w:val="28"/>
          <w:szCs w:val="28"/>
        </w:rPr>
        <w:t>亲属</w:t>
      </w:r>
      <w:r>
        <w:rPr>
          <w:rFonts w:hint="eastAsia" w:ascii="楷体" w:hAnsi="楷体" w:eastAsia="楷体" w:cs="楷体"/>
          <w:spacing w:val="-2"/>
          <w:sz w:val="28"/>
          <w:szCs w:val="28"/>
        </w:rPr>
        <w:t>和其他特定关系人</w:t>
      </w:r>
      <w:r>
        <w:rPr>
          <w:rFonts w:ascii="楷体" w:hAnsi="楷体" w:eastAsia="楷体" w:cs="楷体"/>
          <w:spacing w:val="-2"/>
          <w:sz w:val="28"/>
          <w:szCs w:val="28"/>
        </w:rPr>
        <w:t>在乙方或乙方关联企业股东或实际出资人或高管或主要业务人员成立的企业中担任高管或为其</w:t>
      </w:r>
      <w:r>
        <w:rPr>
          <w:rFonts w:hint="eastAsia" w:ascii="楷体" w:hAnsi="楷体" w:eastAsia="楷体" w:cs="楷体"/>
          <w:spacing w:val="-2"/>
          <w:sz w:val="28"/>
          <w:szCs w:val="28"/>
        </w:rPr>
        <w:t>违规</w:t>
      </w:r>
      <w:r>
        <w:rPr>
          <w:rFonts w:ascii="楷体" w:hAnsi="楷体" w:eastAsia="楷体" w:cs="楷体"/>
          <w:spacing w:val="-2"/>
          <w:sz w:val="28"/>
          <w:szCs w:val="28"/>
        </w:rPr>
        <w:t>发放薪酬。</w:t>
      </w:r>
      <w:r>
        <w:rPr>
          <w:rFonts w:hint="eastAsia" w:ascii="楷体" w:hAnsi="楷体" w:eastAsia="楷体" w:cs="楷体"/>
          <w:spacing w:val="-2"/>
          <w:sz w:val="28"/>
          <w:szCs w:val="28"/>
        </w:rPr>
        <w:t>违规发放薪酬包括不实际工作而获取薪酬或者虽实际工作但领取明显超出同职级标准薪酬。</w:t>
      </w:r>
      <w:r>
        <w:rPr>
          <w:rFonts w:ascii="楷体" w:hAnsi="楷体" w:eastAsia="楷体" w:cs="楷体"/>
          <w:spacing w:val="-2"/>
          <w:sz w:val="28"/>
          <w:szCs w:val="28"/>
        </w:rPr>
        <w:t>（</w:t>
      </w:r>
      <w:r>
        <w:rPr>
          <w:rFonts w:hint="eastAsia" w:ascii="楷体" w:hAnsi="楷体" w:eastAsia="楷体" w:cs="楷体"/>
          <w:spacing w:val="-2"/>
          <w:sz w:val="28"/>
          <w:szCs w:val="28"/>
        </w:rPr>
        <w:t>若乙方为甲方</w:t>
      </w:r>
      <w:r>
        <w:rPr>
          <w:rFonts w:ascii="楷体" w:hAnsi="楷体" w:eastAsia="楷体" w:cs="楷体"/>
          <w:spacing w:val="-2"/>
          <w:sz w:val="28"/>
          <w:szCs w:val="28"/>
        </w:rPr>
        <w:t>新</w:t>
      </w:r>
      <w:r>
        <w:rPr>
          <w:rFonts w:hint="eastAsia" w:ascii="楷体" w:hAnsi="楷体" w:eastAsia="楷体" w:cs="楷体"/>
          <w:spacing w:val="-2"/>
          <w:sz w:val="28"/>
          <w:szCs w:val="28"/>
        </w:rPr>
        <w:t>合作伙伴</w:t>
      </w:r>
      <w:r>
        <w:rPr>
          <w:rFonts w:ascii="楷体" w:hAnsi="楷体" w:eastAsia="楷体" w:cs="楷体"/>
          <w:spacing w:val="-2"/>
          <w:sz w:val="28"/>
          <w:szCs w:val="28"/>
        </w:rPr>
        <w:t>，如在本协议签订前乙方存在本条规定情形的，需在本协议签订后30日内，将相关情况报</w:t>
      </w:r>
      <w:r>
        <w:rPr>
          <w:rFonts w:hint="eastAsia" w:ascii="楷体" w:hAnsi="楷体" w:eastAsia="楷体" w:cs="楷体"/>
          <w:spacing w:val="-2"/>
          <w:sz w:val="28"/>
          <w:szCs w:val="28"/>
        </w:rPr>
        <w:t>甲方所属</w:t>
      </w:r>
      <w:r>
        <w:rPr>
          <w:rFonts w:ascii="楷体" w:hAnsi="楷体" w:eastAsia="楷体" w:cs="楷体"/>
          <w:spacing w:val="-2"/>
          <w:sz w:val="28"/>
          <w:szCs w:val="28"/>
        </w:rPr>
        <w:t>重汽集团</w:t>
      </w:r>
      <w:r>
        <w:rPr>
          <w:rFonts w:hint="eastAsia" w:ascii="楷体" w:hAnsi="楷体" w:eastAsia="楷体" w:cs="楷体"/>
          <w:spacing w:val="-2"/>
          <w:sz w:val="28"/>
          <w:szCs w:val="28"/>
        </w:rPr>
        <w:t>的</w:t>
      </w:r>
      <w:r>
        <w:rPr>
          <w:rFonts w:ascii="楷体" w:hAnsi="楷体" w:eastAsia="楷体" w:cs="楷体"/>
          <w:spacing w:val="-2"/>
          <w:sz w:val="28"/>
          <w:szCs w:val="28"/>
        </w:rPr>
        <w:t>纪委监察部</w:t>
      </w:r>
      <w:r>
        <w:rPr>
          <w:rFonts w:hint="eastAsia" w:ascii="楷体" w:hAnsi="楷体" w:eastAsia="楷体" w:cs="楷体"/>
          <w:spacing w:val="-2"/>
          <w:sz w:val="28"/>
          <w:szCs w:val="28"/>
        </w:rPr>
        <w:t>门</w:t>
      </w:r>
      <w:r>
        <w:rPr>
          <w:rFonts w:ascii="楷体" w:hAnsi="楷体" w:eastAsia="楷体" w:cs="楷体"/>
          <w:spacing w:val="-2"/>
          <w:sz w:val="28"/>
          <w:szCs w:val="28"/>
        </w:rPr>
        <w:t>备案）。</w:t>
      </w:r>
    </w:p>
    <w:p w14:paraId="009CE68C">
      <w:pPr>
        <w:pStyle w:val="40"/>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4.乙方承诺依法开展经营活动，不得有任何形式的商业贿赂行为。乙方一经发现其员工或其</w:t>
      </w:r>
      <w:r>
        <w:rPr>
          <w:rFonts w:hint="eastAsia" w:ascii="楷体" w:hAnsi="楷体" w:eastAsia="楷体" w:cs="楷体"/>
          <w:spacing w:val="-2"/>
          <w:sz w:val="28"/>
          <w:szCs w:val="28"/>
        </w:rPr>
        <w:t>配偶、子女及其配偶等亲属和其他特定关系人</w:t>
      </w:r>
      <w:r>
        <w:rPr>
          <w:rFonts w:ascii="楷体" w:hAnsi="楷体" w:eastAsia="楷体" w:cs="楷体"/>
          <w:spacing w:val="-2"/>
          <w:sz w:val="28"/>
          <w:szCs w:val="28"/>
        </w:rPr>
        <w:t>存在任何商业贿赂行为，应立即通知甲方并自行进行查处和整改。若甲方认为上述行为严重影响到甲方的利益，则甲方有权单方解除双方</w:t>
      </w:r>
      <w:r>
        <w:rPr>
          <w:rFonts w:hint="eastAsia" w:ascii="楷体" w:hAnsi="楷体" w:eastAsia="楷体" w:cs="楷体"/>
          <w:spacing w:val="-2"/>
          <w:sz w:val="28"/>
          <w:szCs w:val="28"/>
        </w:rPr>
        <w:t>已</w:t>
      </w:r>
      <w:r>
        <w:rPr>
          <w:rFonts w:ascii="楷体" w:hAnsi="楷体" w:eastAsia="楷体" w:cs="楷体"/>
          <w:spacing w:val="-2"/>
          <w:sz w:val="28"/>
          <w:szCs w:val="28"/>
        </w:rPr>
        <w:t>签订的</w:t>
      </w:r>
      <w:r>
        <w:rPr>
          <w:rFonts w:hint="eastAsia" w:ascii="楷体" w:hAnsi="楷体" w:eastAsia="楷体" w:cs="楷体"/>
          <w:spacing w:val="-2"/>
          <w:sz w:val="28"/>
          <w:szCs w:val="28"/>
        </w:rPr>
        <w:t>所有合同</w:t>
      </w:r>
      <w:r>
        <w:rPr>
          <w:rFonts w:ascii="楷体" w:hAnsi="楷体" w:eastAsia="楷体" w:cs="楷体"/>
          <w:spacing w:val="-2"/>
          <w:sz w:val="28"/>
          <w:szCs w:val="28"/>
        </w:rPr>
        <w:t>协议，并要求乙方赔偿。</w:t>
      </w:r>
    </w:p>
    <w:p w14:paraId="56FA904B">
      <w:pPr>
        <w:pStyle w:val="40"/>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5.乙方承诺不以任何理由为甲方人员及其</w:t>
      </w:r>
      <w:r>
        <w:rPr>
          <w:rFonts w:hint="eastAsia" w:ascii="楷体" w:hAnsi="楷体" w:eastAsia="楷体" w:cs="楷体"/>
          <w:spacing w:val="-2"/>
          <w:sz w:val="28"/>
          <w:szCs w:val="28"/>
        </w:rPr>
        <w:t>配偶、子女及其配偶等亲属和其他特定关系人提供如下：</w:t>
      </w:r>
    </w:p>
    <w:p w14:paraId="43EB60D5">
      <w:pPr>
        <w:pStyle w:val="40"/>
        <w:tabs>
          <w:tab w:val="left" w:pos="1244"/>
        </w:tabs>
        <w:adjustRightInd w:val="0"/>
        <w:spacing w:line="305" w:lineRule="auto"/>
        <w:ind w:firstLine="552"/>
        <w:rPr>
          <w:rFonts w:ascii="楷体" w:hAnsi="楷体" w:eastAsia="楷体" w:cs="楷体"/>
          <w:spacing w:val="-2"/>
          <w:sz w:val="28"/>
          <w:szCs w:val="28"/>
        </w:rPr>
      </w:pPr>
      <w:r>
        <w:rPr>
          <w:rFonts w:hint="eastAsia" w:ascii="楷体" w:hAnsi="楷体" w:eastAsia="楷体" w:cs="楷体"/>
          <w:spacing w:val="-2"/>
          <w:sz w:val="28"/>
          <w:szCs w:val="28"/>
        </w:rPr>
        <w:t>a)</w:t>
      </w:r>
      <w:r>
        <w:rPr>
          <w:rFonts w:ascii="楷体" w:hAnsi="楷体" w:eastAsia="楷体" w:cs="楷体"/>
          <w:spacing w:val="-2"/>
          <w:sz w:val="28"/>
          <w:szCs w:val="28"/>
        </w:rPr>
        <w:t>赠送</w:t>
      </w:r>
      <w:r>
        <w:rPr>
          <w:rFonts w:hint="eastAsia" w:ascii="楷体" w:hAnsi="楷体" w:eastAsia="楷体" w:cs="楷体"/>
          <w:spacing w:val="-2"/>
          <w:sz w:val="28"/>
          <w:szCs w:val="28"/>
        </w:rPr>
        <w:t>礼品、</w:t>
      </w:r>
      <w:r>
        <w:rPr>
          <w:rFonts w:ascii="楷体" w:hAnsi="楷体" w:eastAsia="楷体" w:cs="楷体"/>
          <w:spacing w:val="-2"/>
          <w:sz w:val="28"/>
          <w:szCs w:val="28"/>
        </w:rPr>
        <w:t>礼金、</w:t>
      </w:r>
      <w:r>
        <w:rPr>
          <w:rFonts w:hint="eastAsia" w:ascii="楷体" w:hAnsi="楷体" w:eastAsia="楷体" w:cs="楷体"/>
          <w:spacing w:val="-2"/>
          <w:sz w:val="28"/>
          <w:szCs w:val="28"/>
        </w:rPr>
        <w:t>消费卡（券）、</w:t>
      </w:r>
      <w:r>
        <w:rPr>
          <w:rFonts w:ascii="楷体" w:hAnsi="楷体" w:eastAsia="楷体" w:cs="楷体"/>
          <w:spacing w:val="-2"/>
          <w:sz w:val="28"/>
          <w:szCs w:val="28"/>
        </w:rPr>
        <w:t>购物卡、充值卡、信用卡</w:t>
      </w:r>
      <w:r>
        <w:rPr>
          <w:rFonts w:hint="eastAsia" w:ascii="楷体" w:hAnsi="楷体" w:eastAsia="楷体" w:cs="楷体"/>
          <w:spacing w:val="-2"/>
          <w:sz w:val="28"/>
          <w:szCs w:val="28"/>
        </w:rPr>
        <w:t>和</w:t>
      </w:r>
      <w:r>
        <w:rPr>
          <w:rFonts w:ascii="楷体" w:hAnsi="楷体" w:eastAsia="楷体" w:cs="楷体"/>
          <w:spacing w:val="-2"/>
          <w:sz w:val="28"/>
          <w:szCs w:val="28"/>
        </w:rPr>
        <w:t>有价证券</w:t>
      </w:r>
      <w:r>
        <w:rPr>
          <w:rFonts w:hint="eastAsia" w:ascii="楷体" w:hAnsi="楷体" w:eastAsia="楷体" w:cs="楷体"/>
          <w:spacing w:val="-2"/>
          <w:sz w:val="28"/>
          <w:szCs w:val="28"/>
        </w:rPr>
        <w:t>、股权、其他金融产品等财物</w:t>
      </w:r>
      <w:r>
        <w:rPr>
          <w:rFonts w:ascii="楷体" w:hAnsi="楷体" w:eastAsia="楷体" w:cs="楷体"/>
          <w:spacing w:val="-2"/>
          <w:sz w:val="28"/>
          <w:szCs w:val="28"/>
        </w:rPr>
        <w:t>和其他贵重物品；</w:t>
      </w:r>
    </w:p>
    <w:p w14:paraId="33D2C15A">
      <w:pPr>
        <w:pStyle w:val="40"/>
        <w:tabs>
          <w:tab w:val="left" w:pos="1244"/>
        </w:tabs>
        <w:adjustRightInd w:val="0"/>
        <w:spacing w:line="305" w:lineRule="auto"/>
        <w:ind w:firstLine="552"/>
        <w:rPr>
          <w:rFonts w:ascii="楷体" w:hAnsi="楷体" w:eastAsia="楷体" w:cs="楷体"/>
          <w:spacing w:val="-2"/>
          <w:sz w:val="28"/>
          <w:szCs w:val="28"/>
        </w:rPr>
      </w:pPr>
      <w:r>
        <w:rPr>
          <w:rFonts w:hint="eastAsia" w:ascii="楷体" w:hAnsi="楷体" w:eastAsia="楷体" w:cs="楷体"/>
          <w:spacing w:val="-2"/>
          <w:sz w:val="28"/>
          <w:szCs w:val="28"/>
        </w:rPr>
        <w:t>b)</w:t>
      </w:r>
      <w:r>
        <w:rPr>
          <w:rFonts w:ascii="楷体" w:hAnsi="楷体" w:eastAsia="楷体" w:cs="楷体"/>
          <w:spacing w:val="-2"/>
          <w:sz w:val="28"/>
          <w:szCs w:val="28"/>
        </w:rPr>
        <w:t>报销个人费用</w:t>
      </w:r>
      <w:r>
        <w:rPr>
          <w:rFonts w:hint="eastAsia" w:ascii="楷体" w:hAnsi="楷体" w:eastAsia="楷体" w:cs="楷体"/>
          <w:spacing w:val="-2"/>
          <w:sz w:val="28"/>
          <w:szCs w:val="28"/>
        </w:rPr>
        <w:t>或以讲课费、课题费、咨询费等名义支付费用</w:t>
      </w:r>
      <w:r>
        <w:rPr>
          <w:rFonts w:ascii="楷体" w:hAnsi="楷体" w:eastAsia="楷体" w:cs="楷体"/>
          <w:spacing w:val="-2"/>
          <w:sz w:val="28"/>
          <w:szCs w:val="28"/>
        </w:rPr>
        <w:t>；</w:t>
      </w:r>
    </w:p>
    <w:p w14:paraId="135FDAA9">
      <w:pPr>
        <w:pStyle w:val="40"/>
        <w:tabs>
          <w:tab w:val="left" w:pos="1244"/>
        </w:tabs>
        <w:adjustRightInd w:val="0"/>
        <w:spacing w:line="305" w:lineRule="auto"/>
        <w:ind w:firstLine="552"/>
        <w:rPr>
          <w:rFonts w:ascii="楷体" w:hAnsi="楷体" w:eastAsia="楷体" w:cs="楷体"/>
          <w:spacing w:val="-2"/>
          <w:sz w:val="28"/>
          <w:szCs w:val="28"/>
        </w:rPr>
      </w:pPr>
      <w:r>
        <w:rPr>
          <w:rFonts w:hint="eastAsia" w:ascii="楷体" w:hAnsi="楷体" w:eastAsia="楷体" w:cs="楷体"/>
          <w:spacing w:val="-2"/>
          <w:sz w:val="28"/>
          <w:szCs w:val="28"/>
        </w:rPr>
        <w:t>c)</w:t>
      </w:r>
      <w:r>
        <w:rPr>
          <w:rFonts w:ascii="楷体" w:hAnsi="楷体" w:eastAsia="楷体" w:cs="楷体"/>
          <w:spacing w:val="-2"/>
          <w:sz w:val="28"/>
          <w:szCs w:val="28"/>
        </w:rPr>
        <w:t>以洽谈业务、签订合同等为借口宴请或邀请外出旅游</w:t>
      </w:r>
      <w:r>
        <w:rPr>
          <w:rFonts w:hint="eastAsia" w:ascii="楷体" w:hAnsi="楷体" w:eastAsia="楷体" w:cs="楷体"/>
          <w:spacing w:val="-2"/>
          <w:sz w:val="28"/>
          <w:szCs w:val="28"/>
        </w:rPr>
        <w:t>、健身、娱乐</w:t>
      </w:r>
      <w:r>
        <w:rPr>
          <w:rFonts w:ascii="楷体" w:hAnsi="楷体" w:eastAsia="楷体" w:cs="楷体"/>
          <w:spacing w:val="-2"/>
          <w:sz w:val="28"/>
          <w:szCs w:val="28"/>
        </w:rPr>
        <w:t>和进入营业性娱乐场所；</w:t>
      </w:r>
    </w:p>
    <w:p w14:paraId="5633C7E2">
      <w:pPr>
        <w:pStyle w:val="40"/>
        <w:tabs>
          <w:tab w:val="left" w:pos="1244"/>
        </w:tabs>
        <w:adjustRightInd w:val="0"/>
        <w:spacing w:line="305" w:lineRule="auto"/>
        <w:ind w:firstLine="552"/>
        <w:rPr>
          <w:rFonts w:ascii="楷体" w:hAnsi="楷体" w:eastAsia="楷体" w:cs="楷体"/>
          <w:spacing w:val="-2"/>
          <w:sz w:val="28"/>
          <w:szCs w:val="28"/>
        </w:rPr>
      </w:pPr>
      <w:r>
        <w:rPr>
          <w:rFonts w:hint="eastAsia" w:ascii="楷体" w:hAnsi="楷体" w:eastAsia="楷体" w:cs="楷体"/>
          <w:spacing w:val="-2"/>
          <w:sz w:val="28"/>
          <w:szCs w:val="28"/>
        </w:rPr>
        <w:t>d)</w:t>
      </w:r>
      <w:r>
        <w:rPr>
          <w:rFonts w:ascii="楷体" w:hAnsi="楷体" w:eastAsia="楷体" w:cs="楷体"/>
          <w:spacing w:val="-2"/>
          <w:sz w:val="28"/>
          <w:szCs w:val="28"/>
        </w:rPr>
        <w:t>购置或提供通讯、交通工具</w:t>
      </w:r>
      <w:r>
        <w:rPr>
          <w:rFonts w:hint="eastAsia" w:ascii="楷体" w:hAnsi="楷体" w:eastAsia="楷体" w:cs="楷体"/>
          <w:spacing w:val="-2"/>
          <w:sz w:val="28"/>
          <w:szCs w:val="28"/>
        </w:rPr>
        <w:t>、钱款、住房、车辆等或提供通过民间借贷等金融助其获得大额回报</w:t>
      </w:r>
      <w:r>
        <w:rPr>
          <w:rFonts w:ascii="楷体" w:hAnsi="楷体" w:eastAsia="楷体" w:cs="楷体"/>
          <w:spacing w:val="-2"/>
          <w:sz w:val="28"/>
          <w:szCs w:val="28"/>
        </w:rPr>
        <w:t>；</w:t>
      </w:r>
    </w:p>
    <w:p w14:paraId="1AF85E35">
      <w:pPr>
        <w:pStyle w:val="40"/>
        <w:tabs>
          <w:tab w:val="left" w:pos="1244"/>
        </w:tabs>
        <w:adjustRightInd w:val="0"/>
        <w:spacing w:line="305" w:lineRule="auto"/>
        <w:ind w:firstLine="552"/>
        <w:rPr>
          <w:rFonts w:ascii="楷体" w:hAnsi="楷体" w:eastAsia="楷体" w:cs="楷体"/>
          <w:spacing w:val="-2"/>
          <w:sz w:val="28"/>
          <w:szCs w:val="28"/>
        </w:rPr>
      </w:pPr>
      <w:r>
        <w:rPr>
          <w:rFonts w:hint="eastAsia" w:ascii="楷体" w:hAnsi="楷体" w:eastAsia="楷体" w:cs="楷体"/>
          <w:spacing w:val="-2"/>
          <w:sz w:val="28"/>
          <w:szCs w:val="28"/>
        </w:rPr>
        <w:t>e)</w:t>
      </w:r>
      <w:r>
        <w:rPr>
          <w:rFonts w:ascii="楷体" w:hAnsi="楷体" w:eastAsia="楷体" w:cs="楷体"/>
          <w:spacing w:val="-2"/>
          <w:sz w:val="28"/>
          <w:szCs w:val="28"/>
        </w:rPr>
        <w:t>住房装修、婚丧嫁娶、家属和子女的工作安排以及出国等提供任何金钱或非金钱方式的资助或帮助</w:t>
      </w:r>
      <w:r>
        <w:rPr>
          <w:rFonts w:hint="eastAsia" w:ascii="楷体" w:hAnsi="楷体" w:eastAsia="楷体" w:cs="楷体"/>
          <w:spacing w:val="-2"/>
          <w:sz w:val="28"/>
          <w:szCs w:val="28"/>
        </w:rPr>
        <w:t>；</w:t>
      </w:r>
    </w:p>
    <w:p w14:paraId="5304FDCE">
      <w:pPr>
        <w:pStyle w:val="40"/>
        <w:tabs>
          <w:tab w:val="left" w:pos="1244"/>
        </w:tabs>
        <w:adjustRightInd w:val="0"/>
        <w:spacing w:line="305" w:lineRule="auto"/>
        <w:ind w:firstLine="552"/>
        <w:rPr>
          <w:rFonts w:ascii="楷体" w:hAnsi="楷体" w:eastAsia="楷体" w:cs="楷体"/>
          <w:spacing w:val="-2"/>
          <w:sz w:val="28"/>
          <w:szCs w:val="28"/>
        </w:rPr>
      </w:pPr>
      <w:r>
        <w:rPr>
          <w:rFonts w:hint="eastAsia" w:ascii="楷体" w:hAnsi="楷体" w:eastAsia="楷体" w:cs="楷体"/>
          <w:spacing w:val="-2"/>
          <w:sz w:val="28"/>
          <w:szCs w:val="28"/>
        </w:rPr>
        <w:t>f)吸收存款、推销金融产品、经营名贵特产类资源等提供帮助谋取利益；</w:t>
      </w:r>
    </w:p>
    <w:p w14:paraId="624F5D12">
      <w:pPr>
        <w:pStyle w:val="40"/>
        <w:tabs>
          <w:tab w:val="left" w:pos="1244"/>
        </w:tabs>
        <w:adjustRightInd w:val="0"/>
        <w:spacing w:line="305" w:lineRule="auto"/>
        <w:ind w:firstLine="552"/>
        <w:rPr>
          <w:rFonts w:ascii="楷体" w:hAnsi="楷体" w:eastAsia="楷体" w:cs="楷体"/>
          <w:spacing w:val="-2"/>
          <w:sz w:val="28"/>
          <w:szCs w:val="28"/>
        </w:rPr>
      </w:pPr>
      <w:r>
        <w:rPr>
          <w:rFonts w:hint="eastAsia" w:ascii="楷体" w:hAnsi="楷体" w:eastAsia="楷体" w:cs="楷体"/>
          <w:spacing w:val="-2"/>
          <w:sz w:val="28"/>
          <w:szCs w:val="28"/>
        </w:rPr>
        <w:t>g)其他可能影响甲方人员公平、公正的履行职权或者履行职责的情形</w:t>
      </w:r>
      <w:r>
        <w:rPr>
          <w:rFonts w:ascii="楷体" w:hAnsi="楷体" w:eastAsia="楷体" w:cs="楷体"/>
          <w:spacing w:val="-2"/>
          <w:sz w:val="28"/>
          <w:szCs w:val="28"/>
        </w:rPr>
        <w:t>。</w:t>
      </w:r>
    </w:p>
    <w:p w14:paraId="3B49FD27">
      <w:pPr>
        <w:pStyle w:val="40"/>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6.乙方应当通过正常途径开展相关业务，决不为谋取不正当利益诱使甲方人员就</w:t>
      </w:r>
      <w:r>
        <w:rPr>
          <w:rFonts w:hint="eastAsia" w:ascii="楷体" w:hAnsi="楷体" w:eastAsia="楷体" w:cs="楷体"/>
          <w:spacing w:val="-2"/>
          <w:sz w:val="28"/>
          <w:szCs w:val="28"/>
        </w:rPr>
        <w:t>采购、服务或销售、经销的物项种类</w:t>
      </w:r>
      <w:r>
        <w:rPr>
          <w:rFonts w:ascii="楷体" w:hAnsi="楷体" w:eastAsia="楷体" w:cs="楷体"/>
          <w:spacing w:val="-2"/>
          <w:sz w:val="28"/>
          <w:szCs w:val="28"/>
        </w:rPr>
        <w:t>、</w:t>
      </w:r>
      <w:r>
        <w:rPr>
          <w:rFonts w:hint="eastAsia" w:ascii="楷体" w:hAnsi="楷体" w:eastAsia="楷体" w:cs="楷体"/>
          <w:spacing w:val="-2"/>
          <w:sz w:val="28"/>
          <w:szCs w:val="28"/>
        </w:rPr>
        <w:t>物项</w:t>
      </w:r>
      <w:r>
        <w:rPr>
          <w:rFonts w:ascii="楷体" w:hAnsi="楷体" w:eastAsia="楷体" w:cs="楷体"/>
          <w:spacing w:val="-2"/>
          <w:sz w:val="28"/>
          <w:szCs w:val="28"/>
        </w:rPr>
        <w:t>数量、价格</w:t>
      </w:r>
      <w:r>
        <w:rPr>
          <w:rFonts w:hint="eastAsia" w:ascii="楷体" w:hAnsi="楷体" w:eastAsia="楷体" w:cs="楷体"/>
          <w:spacing w:val="-2"/>
          <w:sz w:val="28"/>
          <w:szCs w:val="28"/>
        </w:rPr>
        <w:t>条件</w:t>
      </w:r>
      <w:r>
        <w:rPr>
          <w:rFonts w:ascii="楷体" w:hAnsi="楷体" w:eastAsia="楷体" w:cs="楷体"/>
          <w:spacing w:val="-2"/>
          <w:sz w:val="28"/>
          <w:szCs w:val="28"/>
        </w:rPr>
        <w:t>、</w:t>
      </w:r>
      <w:r>
        <w:rPr>
          <w:rFonts w:hint="eastAsia" w:ascii="楷体" w:hAnsi="楷体" w:eastAsia="楷体" w:cs="楷体"/>
          <w:spacing w:val="-2"/>
          <w:sz w:val="28"/>
          <w:szCs w:val="28"/>
        </w:rPr>
        <w:t>付款条件、</w:t>
      </w:r>
      <w:r>
        <w:rPr>
          <w:rFonts w:ascii="楷体" w:hAnsi="楷体" w:eastAsia="楷体" w:cs="楷体"/>
          <w:spacing w:val="-2"/>
          <w:sz w:val="28"/>
          <w:szCs w:val="28"/>
        </w:rPr>
        <w:t>质量问题处理等方面私下商谈或达成默契</w:t>
      </w:r>
      <w:r>
        <w:rPr>
          <w:rFonts w:hint="eastAsia" w:ascii="楷体" w:hAnsi="楷体" w:eastAsia="楷体" w:cs="楷体"/>
          <w:spacing w:val="-2"/>
          <w:sz w:val="28"/>
          <w:szCs w:val="28"/>
        </w:rPr>
        <w:t>；</w:t>
      </w:r>
      <w:r>
        <w:rPr>
          <w:rFonts w:ascii="楷体" w:hAnsi="楷体" w:eastAsia="楷体" w:cs="楷体"/>
          <w:spacing w:val="-2"/>
          <w:sz w:val="28"/>
          <w:szCs w:val="28"/>
        </w:rPr>
        <w:t>决不以任何方式诱使甲方人员接受或共同编造虚假议价及质量资料、影响交易价格或交易之达成、违背职务、将合同权利义务转让给第三方及其它损害甲方利益的行为。</w:t>
      </w:r>
    </w:p>
    <w:p w14:paraId="331531E4">
      <w:pPr>
        <w:pStyle w:val="40"/>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7.若乙方发现甲方人员或其</w:t>
      </w:r>
      <w:r>
        <w:rPr>
          <w:rFonts w:hint="eastAsia" w:ascii="楷体" w:hAnsi="楷体" w:eastAsia="楷体" w:cs="楷体"/>
          <w:spacing w:val="-2"/>
          <w:sz w:val="28"/>
          <w:szCs w:val="28"/>
        </w:rPr>
        <w:t>配偶、子女及其配偶等亲属和其他特定关系人</w:t>
      </w:r>
      <w:r>
        <w:rPr>
          <w:rFonts w:ascii="楷体" w:hAnsi="楷体" w:eastAsia="楷体" w:cs="楷体"/>
          <w:spacing w:val="-2"/>
          <w:sz w:val="28"/>
          <w:szCs w:val="28"/>
        </w:rPr>
        <w:t>有任何形式的索贿受贿行为，乙方有责任向甲方</w:t>
      </w:r>
      <w:r>
        <w:rPr>
          <w:rFonts w:hint="eastAsia" w:ascii="楷体" w:hAnsi="楷体" w:eastAsia="楷体" w:cs="楷体"/>
          <w:spacing w:val="-2"/>
          <w:sz w:val="28"/>
          <w:szCs w:val="28"/>
        </w:rPr>
        <w:t>所属</w:t>
      </w:r>
      <w:r>
        <w:rPr>
          <w:rFonts w:ascii="楷体" w:hAnsi="楷体" w:eastAsia="楷体" w:cs="楷体"/>
          <w:spacing w:val="-2"/>
          <w:sz w:val="28"/>
          <w:szCs w:val="28"/>
        </w:rPr>
        <w:t>重汽集团</w:t>
      </w:r>
      <w:r>
        <w:rPr>
          <w:rFonts w:hint="eastAsia" w:ascii="楷体" w:hAnsi="楷体" w:eastAsia="楷体" w:cs="楷体"/>
          <w:spacing w:val="-2"/>
          <w:sz w:val="28"/>
          <w:szCs w:val="28"/>
        </w:rPr>
        <w:t>的</w:t>
      </w:r>
      <w:r>
        <w:rPr>
          <w:rFonts w:ascii="楷体" w:hAnsi="楷体" w:eastAsia="楷体" w:cs="楷体"/>
          <w:spacing w:val="-2"/>
          <w:sz w:val="28"/>
          <w:szCs w:val="28"/>
        </w:rPr>
        <w:t>纪委监察部门举报（举报电话：0531-58062233，举报邮箱：jianchabu@sinotruk.com）。甲方不得</w:t>
      </w:r>
      <w:r>
        <w:rPr>
          <w:rFonts w:hint="eastAsia" w:ascii="楷体" w:hAnsi="楷体" w:eastAsia="楷体" w:cs="楷体"/>
          <w:spacing w:val="-2"/>
          <w:sz w:val="28"/>
          <w:szCs w:val="28"/>
        </w:rPr>
        <w:t>以</w:t>
      </w:r>
      <w:r>
        <w:rPr>
          <w:rFonts w:ascii="楷体" w:hAnsi="楷体" w:eastAsia="楷体" w:cs="楷体"/>
          <w:spacing w:val="-2"/>
          <w:sz w:val="28"/>
          <w:szCs w:val="28"/>
        </w:rPr>
        <w:t>任何借口对乙方进行报复。对举报属实和严格遵守廉洁协议的乙方，在同等条件下甲方优先考虑与乙方继续合作并给予更优惠的商务合作条件。</w:t>
      </w:r>
    </w:p>
    <w:p w14:paraId="260DF518">
      <w:pPr>
        <w:pStyle w:val="40"/>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8.若乙方知悉其它与甲方合作的供应商</w:t>
      </w:r>
      <w:r>
        <w:rPr>
          <w:rFonts w:hint="eastAsia" w:ascii="楷体" w:hAnsi="楷体" w:eastAsia="楷体" w:cs="楷体"/>
          <w:spacing w:val="-2"/>
          <w:sz w:val="28"/>
          <w:szCs w:val="28"/>
        </w:rPr>
        <w:t>、服务商或采购商、经销商等合作伙伴</w:t>
      </w:r>
      <w:r>
        <w:rPr>
          <w:rFonts w:ascii="楷体" w:hAnsi="楷体" w:eastAsia="楷体" w:cs="楷体"/>
          <w:spacing w:val="-2"/>
          <w:sz w:val="28"/>
          <w:szCs w:val="28"/>
        </w:rPr>
        <w:t>存在违反本协议规定之行为，乙方应向甲方</w:t>
      </w:r>
      <w:r>
        <w:rPr>
          <w:rFonts w:hint="eastAsia" w:ascii="楷体" w:hAnsi="楷体" w:eastAsia="楷体" w:cs="楷体"/>
          <w:spacing w:val="-2"/>
          <w:sz w:val="28"/>
          <w:szCs w:val="28"/>
        </w:rPr>
        <w:t>或</w:t>
      </w:r>
      <w:r>
        <w:rPr>
          <w:rFonts w:ascii="楷体" w:hAnsi="楷体" w:eastAsia="楷体" w:cs="楷体"/>
          <w:spacing w:val="-2"/>
          <w:sz w:val="28"/>
          <w:szCs w:val="28"/>
        </w:rPr>
        <w:t>甲方</w:t>
      </w:r>
      <w:r>
        <w:rPr>
          <w:rFonts w:hint="eastAsia" w:ascii="楷体" w:hAnsi="楷体" w:eastAsia="楷体" w:cs="楷体"/>
          <w:spacing w:val="-2"/>
          <w:sz w:val="28"/>
          <w:szCs w:val="28"/>
        </w:rPr>
        <w:t>所属</w:t>
      </w:r>
      <w:r>
        <w:rPr>
          <w:rFonts w:ascii="楷体" w:hAnsi="楷体" w:eastAsia="楷体" w:cs="楷体"/>
          <w:spacing w:val="-2"/>
          <w:sz w:val="28"/>
          <w:szCs w:val="28"/>
        </w:rPr>
        <w:t>重汽集团</w:t>
      </w:r>
      <w:r>
        <w:rPr>
          <w:rFonts w:hint="eastAsia" w:ascii="楷体" w:hAnsi="楷体" w:eastAsia="楷体" w:cs="楷体"/>
          <w:spacing w:val="-2"/>
          <w:sz w:val="28"/>
          <w:szCs w:val="28"/>
        </w:rPr>
        <w:t>的</w:t>
      </w:r>
      <w:r>
        <w:rPr>
          <w:rFonts w:ascii="楷体" w:hAnsi="楷体" w:eastAsia="楷体" w:cs="楷体"/>
          <w:spacing w:val="-2"/>
          <w:sz w:val="28"/>
          <w:szCs w:val="28"/>
        </w:rPr>
        <w:t>纪委监察部门检举并提供证据。</w:t>
      </w:r>
    </w:p>
    <w:p w14:paraId="201C21A6">
      <w:pPr>
        <w:pStyle w:val="40"/>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9.乙方承诺在双方业务往来期间，不得对甲方人员采取任何手段使其离开甲方到乙方或乙方关联企业任职，若出现上述情况，则属于乙方违约，应承担给甲方造成的一切损失。</w:t>
      </w:r>
    </w:p>
    <w:p w14:paraId="0D79C7FF">
      <w:pPr>
        <w:pStyle w:val="40"/>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10.乙方承诺不聘任甲方内退领导干部或其他人员在乙方或乙方关联企业工作；乙方承诺不聘任甲方离职或退休三年内的领导干部或其他人员在乙方或乙方关联企业工作。</w:t>
      </w:r>
    </w:p>
    <w:p w14:paraId="5316A94D">
      <w:pPr>
        <w:pStyle w:val="40"/>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11.若乙方违反本协议约定的任何一项，乙方自愿向甲方支付5万元至50万元人民币或违反协议约定事件发现的上年度采购额的10%作为违约金，给甲方造成损失的，还应承担全部赔偿责任。另外甲方还有权对乙方采取降低供货比例、取消供货资格、单方解除采购合同等措施。情节特别严重或触犯法律法规的，将交由甲方住所地司法机关依法进行处理。</w:t>
      </w:r>
    </w:p>
    <w:p w14:paraId="114CB6F4">
      <w:pPr>
        <w:pStyle w:val="40"/>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12.关联企业是指：a）本企业的实际控制人，如甲方的实际控制人中国重型汽车集团有限公司或山东重工集团有限公司等；b）本企业实际控制人对外出资，拥有股权超过50%的各级子公司；c）本企业实际控制人直接或间接持股比例虽未超过50%，但为第一大股东，并且通过股东协议、公司章程、董事会决议或者其他协议安排</w:t>
      </w:r>
      <w:r>
        <w:rPr>
          <w:rFonts w:hint="eastAsia" w:ascii="楷体" w:hAnsi="楷体" w:eastAsia="楷体" w:cs="楷体"/>
          <w:spacing w:val="-2"/>
          <w:sz w:val="28"/>
          <w:szCs w:val="28"/>
        </w:rPr>
        <w:t>等</w:t>
      </w:r>
      <w:r>
        <w:rPr>
          <w:rFonts w:ascii="楷体" w:hAnsi="楷体" w:eastAsia="楷体" w:cs="楷体"/>
          <w:spacing w:val="-2"/>
          <w:sz w:val="28"/>
          <w:szCs w:val="28"/>
        </w:rPr>
        <w:t>能够对其实际支配的企业或单位。</w:t>
      </w:r>
    </w:p>
    <w:p w14:paraId="3C174B2E">
      <w:pPr>
        <w:pStyle w:val="40"/>
        <w:tabs>
          <w:tab w:val="left" w:pos="1244"/>
        </w:tabs>
        <w:adjustRightInd w:val="0"/>
        <w:spacing w:line="305" w:lineRule="auto"/>
        <w:ind w:firstLine="552"/>
        <w:rPr>
          <w:rFonts w:ascii="楷体" w:hAnsi="楷体" w:eastAsia="楷体" w:cs="楷体"/>
          <w:spacing w:val="-2"/>
          <w:sz w:val="28"/>
          <w:szCs w:val="28"/>
        </w:rPr>
      </w:pPr>
      <w:r>
        <w:rPr>
          <w:rFonts w:hint="eastAsia" w:ascii="楷体" w:hAnsi="楷体" w:eastAsia="楷体" w:cs="楷体"/>
          <w:spacing w:val="-2"/>
          <w:sz w:val="28"/>
          <w:szCs w:val="28"/>
        </w:rPr>
        <w:t>本企业股东、管理人员及其配偶、子女及其配偶等亲属和其他特定关系人以及本企业实际控制人、实际控制人持股超过50%的各级子公司、实际控制人持股未超过50%但能够实际支配的企业或单位的股东、管理人员及其配偶、子女及其配偶等亲属和其他特定关系人，直接持股、间接持股或以其他形式投资的企业或单位，视同本企业的关联企业。</w:t>
      </w:r>
    </w:p>
    <w:p w14:paraId="7712AF17">
      <w:pPr>
        <w:pStyle w:val="40"/>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13.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p>
    <w:p w14:paraId="2993EE76">
      <w:pPr>
        <w:pStyle w:val="40"/>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14:paraId="212CAECF">
      <w:pPr>
        <w:pStyle w:val="40"/>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14.本协议作为执行</w:t>
      </w:r>
      <w:r>
        <w:rPr>
          <w:rFonts w:hint="eastAsia" w:ascii="楷体" w:hAnsi="楷体" w:eastAsia="楷体" w:cs="楷体"/>
          <w:spacing w:val="-2"/>
          <w:sz w:val="28"/>
          <w:szCs w:val="28"/>
        </w:rPr>
        <w:t>甲乙双方</w:t>
      </w:r>
      <w:r>
        <w:rPr>
          <w:rFonts w:ascii="楷体" w:hAnsi="楷体" w:eastAsia="楷体" w:cs="楷体"/>
          <w:spacing w:val="-2"/>
          <w:sz w:val="28"/>
          <w:szCs w:val="28"/>
        </w:rPr>
        <w:t>采购协议</w:t>
      </w:r>
      <w:r>
        <w:rPr>
          <w:rFonts w:hint="eastAsia" w:ascii="楷体" w:hAnsi="楷体" w:eastAsia="楷体" w:cs="楷体"/>
          <w:spacing w:val="-2"/>
          <w:sz w:val="28"/>
          <w:szCs w:val="28"/>
        </w:rPr>
        <w:t>或其他合作合同、协议</w:t>
      </w:r>
      <w:r>
        <w:rPr>
          <w:rFonts w:ascii="楷体" w:hAnsi="楷体" w:eastAsia="楷体" w:cs="楷体"/>
          <w:spacing w:val="-2"/>
          <w:sz w:val="28"/>
          <w:szCs w:val="28"/>
        </w:rPr>
        <w:t>的附件，自双方签署之日起生效，此协议在</w:t>
      </w:r>
      <w:r>
        <w:rPr>
          <w:rFonts w:hint="eastAsia" w:ascii="楷体" w:hAnsi="楷体" w:eastAsia="楷体" w:cs="楷体"/>
          <w:spacing w:val="-2"/>
          <w:sz w:val="28"/>
          <w:szCs w:val="28"/>
        </w:rPr>
        <w:t>甲乙</w:t>
      </w:r>
      <w:r>
        <w:rPr>
          <w:rFonts w:ascii="楷体" w:hAnsi="楷体" w:eastAsia="楷体" w:cs="楷体"/>
          <w:spacing w:val="-2"/>
          <w:sz w:val="28"/>
          <w:szCs w:val="28"/>
        </w:rPr>
        <w:t>双方</w:t>
      </w:r>
      <w:r>
        <w:rPr>
          <w:rFonts w:hint="eastAsia" w:ascii="楷体" w:hAnsi="楷体" w:eastAsia="楷体" w:cs="楷体"/>
          <w:spacing w:val="-2"/>
          <w:sz w:val="28"/>
          <w:szCs w:val="28"/>
        </w:rPr>
        <w:t>业务</w:t>
      </w:r>
      <w:r>
        <w:rPr>
          <w:rFonts w:ascii="楷体" w:hAnsi="楷体" w:eastAsia="楷体" w:cs="楷体"/>
          <w:spacing w:val="-2"/>
          <w:sz w:val="28"/>
          <w:szCs w:val="28"/>
        </w:rPr>
        <w:t>合作期间有效</w:t>
      </w:r>
      <w:r>
        <w:rPr>
          <w:rFonts w:hint="eastAsia" w:ascii="楷体" w:hAnsi="楷体" w:eastAsia="楷体" w:cs="楷体"/>
          <w:spacing w:val="-2"/>
          <w:sz w:val="28"/>
          <w:szCs w:val="28"/>
        </w:rPr>
        <w:t>；本协议生效后将自动替代生效日之前双方已签订的《供应商廉洁诚信协议》或类同协议约定；本协议生效前甲乙双方未签署《供应商廉洁诚信协议》或类同协议约定等但实际已存在供应采购等业务合作关系的，甲乙双方同意有关业务合作适用本协议的所有条款约定。</w:t>
      </w:r>
    </w:p>
    <w:p w14:paraId="19E81786">
      <w:pPr>
        <w:pStyle w:val="40"/>
        <w:tabs>
          <w:tab w:val="left" w:pos="1244"/>
        </w:tabs>
        <w:adjustRightInd w:val="0"/>
        <w:spacing w:line="305" w:lineRule="auto"/>
        <w:ind w:firstLine="552"/>
        <w:rPr>
          <w:rFonts w:ascii="楷体" w:hAnsi="楷体" w:eastAsia="楷体" w:cs="楷体"/>
          <w:spacing w:val="-2"/>
          <w:sz w:val="28"/>
          <w:szCs w:val="28"/>
        </w:rPr>
      </w:pPr>
      <w:r>
        <w:rPr>
          <w:rFonts w:ascii="楷体" w:hAnsi="楷体" w:eastAsia="楷体" w:cs="楷体"/>
          <w:spacing w:val="-2"/>
          <w:sz w:val="28"/>
          <w:szCs w:val="28"/>
        </w:rPr>
        <w:t>1</w:t>
      </w:r>
      <w:r>
        <w:rPr>
          <w:rFonts w:hint="eastAsia" w:ascii="楷体" w:hAnsi="楷体" w:eastAsia="楷体" w:cs="楷体"/>
          <w:spacing w:val="-2"/>
          <w:sz w:val="28"/>
          <w:szCs w:val="28"/>
        </w:rPr>
        <w:t>5</w:t>
      </w:r>
      <w:r>
        <w:rPr>
          <w:rFonts w:ascii="楷体" w:hAnsi="楷体" w:eastAsia="楷体" w:cs="楷体"/>
          <w:spacing w:val="-2"/>
          <w:sz w:val="28"/>
          <w:szCs w:val="28"/>
        </w:rPr>
        <w:t>.本协议一式二份，双方各执一份，具有同等法律效力。若产生争议，双方协商解决，协商不成的在甲方所在地有管辖权的法院诉讼解决。</w:t>
      </w:r>
    </w:p>
    <w:p w14:paraId="656F7108">
      <w:pPr>
        <w:pStyle w:val="7"/>
        <w:spacing w:before="9"/>
        <w:rPr>
          <w:rFonts w:ascii="楷体" w:hAnsi="楷体" w:eastAsia="楷体" w:cs="楷体"/>
          <w:sz w:val="40"/>
          <w:szCs w:val="28"/>
        </w:rPr>
      </w:pPr>
    </w:p>
    <w:p w14:paraId="361375D9">
      <w:pPr>
        <w:tabs>
          <w:tab w:val="left" w:pos="5457"/>
        </w:tabs>
        <w:spacing w:before="1"/>
        <w:ind w:left="117"/>
        <w:outlineLvl w:val="0"/>
        <w:rPr>
          <w:rFonts w:ascii="楷体" w:hAnsi="楷体" w:eastAsia="楷体" w:cs="楷体"/>
          <w:b/>
          <w:sz w:val="24"/>
          <w:szCs w:val="21"/>
        </w:rPr>
      </w:pPr>
      <w:bookmarkStart w:id="21" w:name="_Toc3301"/>
      <w:r>
        <w:rPr>
          <w:rFonts w:hint="eastAsia" w:ascii="楷体" w:hAnsi="楷体" w:eastAsia="楷体" w:cs="楷体"/>
          <w:b/>
          <w:spacing w:val="-1"/>
          <w:w w:val="99"/>
          <w:sz w:val="24"/>
          <w:szCs w:val="21"/>
        </w:rPr>
        <w:t>甲方（盖章</w:t>
      </w:r>
      <w:r>
        <w:rPr>
          <w:rFonts w:hint="eastAsia" w:ascii="楷体" w:hAnsi="楷体" w:eastAsia="楷体" w:cs="楷体"/>
          <w:b/>
          <w:spacing w:val="-140"/>
          <w:w w:val="99"/>
          <w:sz w:val="24"/>
          <w:szCs w:val="21"/>
        </w:rPr>
        <w:t>）</w:t>
      </w:r>
      <w:r>
        <w:rPr>
          <w:rFonts w:hint="eastAsia" w:ascii="楷体" w:hAnsi="楷体" w:eastAsia="楷体" w:cs="楷体"/>
          <w:b/>
          <w:w w:val="99"/>
          <w:sz w:val="24"/>
          <w:szCs w:val="21"/>
        </w:rPr>
        <w:t>：</w:t>
      </w:r>
      <w:r>
        <w:rPr>
          <w:rFonts w:hint="eastAsia" w:ascii="楷体" w:hAnsi="楷体" w:eastAsia="楷体" w:cs="楷体"/>
          <w:b/>
          <w:sz w:val="24"/>
          <w:szCs w:val="21"/>
        </w:rPr>
        <w:tab/>
      </w:r>
      <w:r>
        <w:rPr>
          <w:rFonts w:hint="eastAsia" w:ascii="楷体" w:hAnsi="楷体" w:eastAsia="楷体" w:cs="楷体"/>
          <w:b/>
          <w:spacing w:val="-1"/>
          <w:w w:val="99"/>
          <w:sz w:val="24"/>
          <w:szCs w:val="21"/>
        </w:rPr>
        <w:t>乙方（盖</w:t>
      </w:r>
      <w:r>
        <w:rPr>
          <w:rFonts w:hint="eastAsia" w:ascii="楷体" w:hAnsi="楷体" w:eastAsia="楷体" w:cs="楷体"/>
          <w:b/>
          <w:spacing w:val="2"/>
          <w:w w:val="99"/>
          <w:sz w:val="24"/>
          <w:szCs w:val="21"/>
        </w:rPr>
        <w:t>章</w:t>
      </w:r>
      <w:r>
        <w:rPr>
          <w:rFonts w:hint="eastAsia" w:ascii="楷体" w:hAnsi="楷体" w:eastAsia="楷体" w:cs="楷体"/>
          <w:b/>
          <w:spacing w:val="-142"/>
          <w:w w:val="99"/>
          <w:sz w:val="24"/>
          <w:szCs w:val="21"/>
        </w:rPr>
        <w:t>）</w:t>
      </w:r>
      <w:r>
        <w:rPr>
          <w:rFonts w:hint="eastAsia" w:ascii="楷体" w:hAnsi="楷体" w:eastAsia="楷体" w:cs="楷体"/>
          <w:b/>
          <w:w w:val="99"/>
          <w:sz w:val="24"/>
          <w:szCs w:val="21"/>
        </w:rPr>
        <w:t>：</w:t>
      </w:r>
      <w:bookmarkEnd w:id="21"/>
    </w:p>
    <w:p w14:paraId="49AAEB04">
      <w:pPr>
        <w:pStyle w:val="7"/>
        <w:rPr>
          <w:rFonts w:ascii="楷体" w:hAnsi="楷体" w:eastAsia="楷体" w:cs="楷体"/>
          <w:b/>
          <w:sz w:val="24"/>
          <w:szCs w:val="28"/>
        </w:rPr>
      </w:pPr>
    </w:p>
    <w:p w14:paraId="635C7E28">
      <w:pPr>
        <w:pStyle w:val="7"/>
        <w:spacing w:before="1"/>
        <w:rPr>
          <w:rFonts w:ascii="楷体" w:hAnsi="楷体" w:eastAsia="楷体" w:cs="楷体"/>
          <w:b/>
          <w:sz w:val="24"/>
          <w:szCs w:val="28"/>
        </w:rPr>
      </w:pPr>
    </w:p>
    <w:p w14:paraId="5C65F430">
      <w:pPr>
        <w:tabs>
          <w:tab w:val="left" w:pos="5457"/>
        </w:tabs>
        <w:ind w:left="117"/>
        <w:outlineLvl w:val="0"/>
        <w:rPr>
          <w:rFonts w:ascii="楷体" w:hAnsi="楷体" w:eastAsia="楷体" w:cs="楷体"/>
          <w:b/>
          <w:sz w:val="24"/>
          <w:szCs w:val="21"/>
        </w:rPr>
      </w:pPr>
      <w:bookmarkStart w:id="22" w:name="_Toc5270"/>
      <w:r>
        <w:rPr>
          <w:rFonts w:hint="eastAsia" w:ascii="楷体" w:hAnsi="楷体" w:eastAsia="楷体" w:cs="楷体"/>
          <w:b/>
          <w:sz w:val="24"/>
          <w:szCs w:val="21"/>
        </w:rPr>
        <w:t>法定代表/授权代表</w:t>
      </w:r>
      <w:r>
        <w:rPr>
          <w:rFonts w:hint="eastAsia" w:ascii="楷体" w:hAnsi="楷体" w:eastAsia="楷体" w:cs="楷体"/>
          <w:b/>
          <w:sz w:val="24"/>
          <w:szCs w:val="21"/>
        </w:rPr>
        <w:tab/>
      </w:r>
      <w:r>
        <w:rPr>
          <w:rFonts w:hint="eastAsia" w:ascii="楷体" w:hAnsi="楷体" w:eastAsia="楷体" w:cs="楷体"/>
          <w:b/>
          <w:sz w:val="24"/>
          <w:szCs w:val="21"/>
        </w:rPr>
        <w:t>法定代表/授权代表</w:t>
      </w:r>
      <w:bookmarkEnd w:id="22"/>
    </w:p>
    <w:p w14:paraId="5AF65F79">
      <w:pPr>
        <w:pStyle w:val="7"/>
        <w:rPr>
          <w:rFonts w:ascii="楷体" w:hAnsi="楷体" w:eastAsia="楷体" w:cs="楷体"/>
          <w:b/>
          <w:sz w:val="24"/>
          <w:szCs w:val="28"/>
        </w:rPr>
      </w:pPr>
    </w:p>
    <w:p w14:paraId="6D0DD4A7">
      <w:pPr>
        <w:pStyle w:val="7"/>
        <w:spacing w:before="4"/>
        <w:rPr>
          <w:rFonts w:ascii="楷体" w:hAnsi="楷体" w:eastAsia="楷体" w:cs="楷体"/>
          <w:b/>
          <w:sz w:val="24"/>
          <w:szCs w:val="28"/>
        </w:rPr>
      </w:pPr>
    </w:p>
    <w:p w14:paraId="69396DEA">
      <w:pPr>
        <w:tabs>
          <w:tab w:val="left" w:pos="5457"/>
        </w:tabs>
        <w:ind w:left="117"/>
        <w:outlineLvl w:val="0"/>
        <w:rPr>
          <w:rFonts w:ascii="Calibri" w:hAnsi="Calibri"/>
          <w:b/>
          <w:bCs/>
          <w:kern w:val="44"/>
          <w:sz w:val="36"/>
          <w:szCs w:val="44"/>
        </w:rPr>
        <w:sectPr>
          <w:footerReference r:id="rId5" w:type="first"/>
          <w:headerReference r:id="rId3" w:type="default"/>
          <w:footerReference r:id="rId4" w:type="default"/>
          <w:pgSz w:w="11906" w:h="16838"/>
          <w:pgMar w:top="1588" w:right="1418" w:bottom="1134" w:left="1418" w:header="851" w:footer="992" w:gutter="0"/>
          <w:cols w:space="720" w:num="1"/>
          <w:titlePg/>
          <w:docGrid w:type="lines" w:linePitch="312" w:charSpace="0"/>
        </w:sectPr>
      </w:pPr>
      <w:bookmarkStart w:id="23" w:name="_Toc4135"/>
      <w:r>
        <w:rPr>
          <w:rFonts w:hint="eastAsia" w:ascii="楷体" w:hAnsi="楷体" w:eastAsia="楷体" w:cs="楷体"/>
          <w:b/>
          <w:sz w:val="24"/>
          <w:szCs w:val="21"/>
        </w:rPr>
        <w:t>日</w:t>
      </w:r>
      <w:r>
        <w:rPr>
          <w:rFonts w:hint="eastAsia" w:ascii="楷体" w:hAnsi="楷体" w:eastAsia="楷体" w:cs="楷体"/>
          <w:b/>
          <w:spacing w:val="-4"/>
          <w:sz w:val="24"/>
          <w:szCs w:val="21"/>
        </w:rPr>
        <w:t xml:space="preserve"> </w:t>
      </w:r>
      <w:r>
        <w:rPr>
          <w:rFonts w:hint="eastAsia" w:ascii="楷体" w:hAnsi="楷体" w:eastAsia="楷体" w:cs="楷体"/>
          <w:b/>
          <w:sz w:val="24"/>
          <w:szCs w:val="21"/>
        </w:rPr>
        <w:t>期:</w:t>
      </w:r>
      <w:r>
        <w:rPr>
          <w:rFonts w:hint="eastAsia" w:ascii="楷体" w:hAnsi="楷体" w:eastAsia="楷体" w:cs="楷体"/>
          <w:b/>
          <w:sz w:val="24"/>
          <w:szCs w:val="21"/>
        </w:rPr>
        <w:tab/>
      </w:r>
      <w:r>
        <w:rPr>
          <w:rFonts w:hint="eastAsia" w:ascii="楷体" w:hAnsi="楷体" w:eastAsia="楷体" w:cs="楷体"/>
          <w:b/>
          <w:sz w:val="24"/>
          <w:szCs w:val="21"/>
        </w:rPr>
        <w:t>日 期:</w:t>
      </w:r>
      <w:bookmarkEnd w:id="23"/>
    </w:p>
    <w:p w14:paraId="19002516">
      <w:pPr>
        <w:keepNext w:val="0"/>
        <w:keepLines w:val="0"/>
        <w:pageBreakBefore w:val="0"/>
        <w:widowControl w:val="0"/>
        <w:kinsoku/>
        <w:wordWrap/>
        <w:overflowPunct/>
        <w:topLinePunct w:val="0"/>
        <w:autoSpaceDE/>
        <w:autoSpaceDN/>
        <w:bidi w:val="0"/>
        <w:spacing w:line="500" w:lineRule="exact"/>
        <w:jc w:val="both"/>
        <w:textAlignment w:val="auto"/>
        <w:rPr>
          <w:rFonts w:ascii="宋体" w:hAnsi="Courier New"/>
        </w:rPr>
      </w:pPr>
    </w:p>
    <w:p w14:paraId="03F1483B">
      <w:pPr>
        <w:pStyle w:val="10"/>
        <w:keepNext w:val="0"/>
        <w:keepLines w:val="0"/>
        <w:pageBreakBefore w:val="0"/>
        <w:widowControl w:val="0"/>
        <w:kinsoku/>
        <w:wordWrap/>
        <w:overflowPunct/>
        <w:topLinePunct w:val="0"/>
        <w:autoSpaceDE/>
        <w:autoSpaceDN/>
        <w:bidi w:val="0"/>
        <w:spacing w:line="500" w:lineRule="exact"/>
        <w:jc w:val="center"/>
        <w:textAlignment w:val="auto"/>
        <w:outlineLvl w:val="1"/>
        <w:rPr>
          <w:rFonts w:ascii="Times New Roman" w:hAnsi="Times New Roman" w:eastAsia="黑体" w:cs="Times New Roman"/>
          <w:b/>
          <w:bCs/>
          <w:sz w:val="36"/>
        </w:rPr>
      </w:pPr>
      <w:r>
        <w:rPr>
          <w:rFonts w:hint="eastAsia" w:ascii="Times New Roman" w:hAnsi="Times New Roman" w:eastAsia="黑体" w:cs="Times New Roman"/>
          <w:b/>
          <w:bCs/>
          <w:sz w:val="36"/>
        </w:rPr>
        <w:t>SRM非生产供应商注册操作手册</w:t>
      </w:r>
    </w:p>
    <w:p w14:paraId="428DCE66">
      <w:pPr>
        <w:pStyle w:val="10"/>
        <w:keepNext w:val="0"/>
        <w:keepLines w:val="0"/>
        <w:pageBreakBefore w:val="0"/>
        <w:widowControl w:val="0"/>
        <w:kinsoku/>
        <w:wordWrap/>
        <w:overflowPunct/>
        <w:topLinePunct w:val="0"/>
        <w:autoSpaceDE/>
        <w:autoSpaceDN/>
        <w:bidi w:val="0"/>
        <w:spacing w:line="500" w:lineRule="exact"/>
        <w:jc w:val="center"/>
        <w:textAlignment w:val="auto"/>
      </w:pPr>
    </w:p>
    <w:p w14:paraId="257661B9">
      <w:pPr>
        <w:keepNext w:val="0"/>
        <w:keepLines w:val="0"/>
        <w:pageBreakBefore w:val="0"/>
        <w:widowControl w:val="0"/>
        <w:kinsoku/>
        <w:wordWrap/>
        <w:overflowPunct/>
        <w:topLinePunct w:val="0"/>
        <w:autoSpaceDE/>
        <w:autoSpaceDN/>
        <w:bidi w:val="0"/>
        <w:adjustRightInd w:val="0"/>
        <w:snapToGrid w:val="0"/>
        <w:spacing w:line="500" w:lineRule="exact"/>
        <w:jc w:val="left"/>
        <w:textAlignment w:val="auto"/>
        <w:rPr>
          <w:rFonts w:ascii="宋体" w:hAnsi="宋体" w:cs="宋体"/>
          <w:sz w:val="24"/>
          <w:szCs w:val="24"/>
        </w:rPr>
      </w:pPr>
      <w:r>
        <w:rPr>
          <w:rFonts w:ascii="宋体" w:hAnsi="宋体" w:cs="宋体"/>
          <w:sz w:val="24"/>
          <w:szCs w:val="24"/>
        </w:rPr>
        <w:t>浏览器中输入地址;</w:t>
      </w:r>
    </w:p>
    <w:p w14:paraId="128B76C3">
      <w:pPr>
        <w:keepNext w:val="0"/>
        <w:keepLines w:val="0"/>
        <w:pageBreakBefore w:val="0"/>
        <w:widowControl w:val="0"/>
        <w:kinsoku/>
        <w:wordWrap/>
        <w:overflowPunct/>
        <w:topLinePunct w:val="0"/>
        <w:autoSpaceDE/>
        <w:autoSpaceDN/>
        <w:bidi w:val="0"/>
        <w:adjustRightInd w:val="0"/>
        <w:snapToGrid w:val="0"/>
        <w:spacing w:line="500" w:lineRule="exact"/>
        <w:jc w:val="left"/>
        <w:textAlignment w:val="auto"/>
        <w:rPr>
          <w:rFonts w:ascii="宋体" w:hAnsi="宋体" w:cs="宋体"/>
          <w:sz w:val="24"/>
          <w:szCs w:val="24"/>
        </w:rPr>
      </w:pPr>
      <w:r>
        <w:fldChar w:fldCharType="begin"/>
      </w:r>
      <w:r>
        <w:instrText xml:space="preserve"> HYPERLINK "http://ecaitong.sinotruk.com:8012/#/login" \t "dlt" </w:instrText>
      </w:r>
      <w:r>
        <w:fldChar w:fldCharType="separate"/>
      </w:r>
      <w:r>
        <w:rPr>
          <w:rFonts w:ascii="宋体" w:hAnsi="宋体" w:cs="宋体"/>
          <w:sz w:val="24"/>
          <w:szCs w:val="24"/>
        </w:rPr>
        <w:t>http</w:t>
      </w:r>
      <w:r>
        <w:rPr>
          <w:rFonts w:hint="eastAsia" w:ascii="宋体" w:hAnsi="宋体" w:cs="宋体"/>
          <w:sz w:val="24"/>
          <w:szCs w:val="24"/>
        </w:rPr>
        <w:t>s</w:t>
      </w:r>
      <w:r>
        <w:rPr>
          <w:rFonts w:ascii="宋体" w:hAnsi="宋体" w:cs="宋体"/>
          <w:sz w:val="24"/>
          <w:szCs w:val="24"/>
        </w:rPr>
        <w:t>://ecaitong.sinotruk.com:8012/#/login</w:t>
      </w:r>
      <w:r>
        <w:rPr>
          <w:rFonts w:ascii="宋体" w:hAnsi="宋体" w:cs="宋体"/>
          <w:sz w:val="24"/>
          <w:szCs w:val="24"/>
        </w:rPr>
        <w:fldChar w:fldCharType="end"/>
      </w:r>
    </w:p>
    <w:p w14:paraId="2E2E51BF">
      <w:pPr>
        <w:adjustRightInd w:val="0"/>
        <w:snapToGrid w:val="0"/>
        <w:spacing w:line="360" w:lineRule="auto"/>
        <w:jc w:val="left"/>
        <w:outlineLvl w:val="1"/>
        <w:rPr>
          <w:rFonts w:ascii="宋体" w:hAnsi="宋体" w:cs="宋体"/>
          <w:sz w:val="24"/>
          <w:szCs w:val="24"/>
        </w:rPr>
      </w:pPr>
      <w:r>
        <w:rPr>
          <w:rFonts w:ascii="宋体" w:hAnsi="宋体" w:cs="宋体"/>
          <w:sz w:val="24"/>
          <w:szCs w:val="24"/>
        </w:rPr>
        <w:t>1.点击立即注册</w:t>
      </w:r>
    </w:p>
    <w:p w14:paraId="32B49CD9">
      <w:pPr>
        <w:snapToGrid w:val="0"/>
        <w:spacing w:line="312" w:lineRule="auto"/>
      </w:pPr>
      <w:r>
        <w:drawing>
          <wp:inline distT="0" distB="0" distL="0" distR="0">
            <wp:extent cx="5760085" cy="2933065"/>
            <wp:effectExtent l="0" t="0" r="635" b="825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7"/>
                    <a:stretch>
                      <a:fillRect/>
                    </a:stretch>
                  </pic:blipFill>
                  <pic:spPr>
                    <a:xfrm>
                      <a:off x="0" y="0"/>
                      <a:ext cx="5760085" cy="2933377"/>
                    </a:xfrm>
                    <a:prstGeom prst="rect">
                      <a:avLst/>
                    </a:prstGeom>
                  </pic:spPr>
                </pic:pic>
              </a:graphicData>
            </a:graphic>
          </wp:inline>
        </w:drawing>
      </w:r>
    </w:p>
    <w:p w14:paraId="3F91D979">
      <w:pPr>
        <w:spacing w:line="360" w:lineRule="auto"/>
        <w:outlineLvl w:val="1"/>
        <w:rPr>
          <w:rFonts w:ascii="宋体" w:hAnsi="宋体" w:cs="宋体"/>
          <w:sz w:val="24"/>
          <w:szCs w:val="28"/>
        </w:rPr>
      </w:pPr>
      <w:r>
        <w:rPr>
          <w:rFonts w:hint="eastAsia" w:ascii="宋体" w:hAnsi="宋体" w:cs="宋体"/>
          <w:color w:val="000000"/>
          <w:sz w:val="24"/>
          <w:szCs w:val="28"/>
        </w:rPr>
        <w:t>2.</w:t>
      </w:r>
      <w:r>
        <w:rPr>
          <w:rFonts w:ascii="宋体" w:hAnsi="宋体" w:cs="宋体"/>
          <w:color w:val="000000"/>
          <w:sz w:val="24"/>
          <w:szCs w:val="28"/>
        </w:rPr>
        <w:t>填写手机号码（没有注册过的）</w:t>
      </w:r>
    </w:p>
    <w:p w14:paraId="18DA3BA5">
      <w:pPr>
        <w:snapToGrid w:val="0"/>
        <w:spacing w:line="312" w:lineRule="auto"/>
      </w:pPr>
      <w:r>
        <w:drawing>
          <wp:inline distT="0" distB="0" distL="0" distR="0">
            <wp:extent cx="5760085" cy="2766695"/>
            <wp:effectExtent l="0" t="0" r="635" b="6985"/>
            <wp:docPr id="20" name="picture" descr="descript"/>
            <wp:cNvGraphicFramePr/>
            <a:graphic xmlns:a="http://schemas.openxmlformats.org/drawingml/2006/main">
              <a:graphicData uri="http://schemas.openxmlformats.org/drawingml/2006/picture">
                <pic:pic xmlns:pic="http://schemas.openxmlformats.org/drawingml/2006/picture">
                  <pic:nvPicPr>
                    <pic:cNvPr id="20" name="picture" descr="descript"/>
                    <pic:cNvPicPr/>
                  </pic:nvPicPr>
                  <pic:blipFill>
                    <a:blip r:embed="rId8"/>
                    <a:stretch>
                      <a:fillRect/>
                    </a:stretch>
                  </pic:blipFill>
                  <pic:spPr>
                    <a:xfrm>
                      <a:off x="0" y="0"/>
                      <a:ext cx="5760085" cy="2766707"/>
                    </a:xfrm>
                    <a:prstGeom prst="rect">
                      <a:avLst/>
                    </a:prstGeom>
                  </pic:spPr>
                </pic:pic>
              </a:graphicData>
            </a:graphic>
          </wp:inline>
        </w:drawing>
      </w:r>
    </w:p>
    <w:p w14:paraId="61166C50">
      <w:pPr>
        <w:spacing w:line="360" w:lineRule="auto"/>
        <w:outlineLvl w:val="1"/>
        <w:rPr>
          <w:rFonts w:ascii="宋体" w:hAnsi="宋体" w:cs="宋体"/>
          <w:sz w:val="24"/>
          <w:szCs w:val="28"/>
        </w:rPr>
      </w:pPr>
      <w:r>
        <w:rPr>
          <w:rFonts w:hint="eastAsia" w:ascii="宋体" w:hAnsi="宋体" w:cs="宋体"/>
          <w:color w:val="000000"/>
          <w:sz w:val="24"/>
          <w:szCs w:val="28"/>
        </w:rPr>
        <w:t>3.</w:t>
      </w:r>
      <w:r>
        <w:rPr>
          <w:rFonts w:ascii="宋体" w:hAnsi="宋体" w:cs="宋体"/>
          <w:color w:val="000000"/>
          <w:sz w:val="24"/>
          <w:szCs w:val="28"/>
        </w:rPr>
        <w:t>注册成功登录这个手机号码的账号进入系统，点击供应商注册</w:t>
      </w:r>
    </w:p>
    <w:p w14:paraId="190513B8">
      <w:pPr>
        <w:snapToGrid w:val="0"/>
        <w:spacing w:line="312" w:lineRule="auto"/>
      </w:pPr>
      <w:r>
        <w:drawing>
          <wp:inline distT="0" distB="0" distL="0" distR="0">
            <wp:extent cx="5760085" cy="2869565"/>
            <wp:effectExtent l="0" t="0" r="635" b="10795"/>
            <wp:docPr id="21" name="picture" descr="descript"/>
            <wp:cNvGraphicFramePr/>
            <a:graphic xmlns:a="http://schemas.openxmlformats.org/drawingml/2006/main">
              <a:graphicData uri="http://schemas.openxmlformats.org/drawingml/2006/picture">
                <pic:pic xmlns:pic="http://schemas.openxmlformats.org/drawingml/2006/picture">
                  <pic:nvPicPr>
                    <pic:cNvPr id="21" name="picture" descr="descript"/>
                    <pic:cNvPicPr/>
                  </pic:nvPicPr>
                  <pic:blipFill>
                    <a:blip r:embed="rId9"/>
                    <a:stretch>
                      <a:fillRect/>
                    </a:stretch>
                  </pic:blipFill>
                  <pic:spPr>
                    <a:xfrm>
                      <a:off x="0" y="0"/>
                      <a:ext cx="5760085" cy="2870054"/>
                    </a:xfrm>
                    <a:prstGeom prst="rect">
                      <a:avLst/>
                    </a:prstGeom>
                  </pic:spPr>
                </pic:pic>
              </a:graphicData>
            </a:graphic>
          </wp:inline>
        </w:drawing>
      </w:r>
    </w:p>
    <w:p w14:paraId="6E313970">
      <w:pPr>
        <w:spacing w:line="360" w:lineRule="auto"/>
        <w:outlineLvl w:val="1"/>
        <w:rPr>
          <w:rFonts w:ascii="宋体" w:hAnsi="宋体" w:cs="宋体"/>
          <w:sz w:val="24"/>
          <w:szCs w:val="28"/>
        </w:rPr>
      </w:pPr>
      <w:r>
        <w:rPr>
          <w:rFonts w:hint="eastAsia" w:ascii="宋体" w:hAnsi="宋体" w:cs="宋体"/>
          <w:color w:val="000000"/>
          <w:sz w:val="24"/>
          <w:szCs w:val="28"/>
        </w:rPr>
        <w:t>4.</w:t>
      </w:r>
      <w:r>
        <w:rPr>
          <w:rFonts w:ascii="宋体" w:hAnsi="宋体" w:cs="宋体"/>
          <w:color w:val="000000"/>
          <w:sz w:val="24"/>
          <w:szCs w:val="28"/>
        </w:rPr>
        <w:t>点击新增</w:t>
      </w:r>
    </w:p>
    <w:p w14:paraId="46512CF5">
      <w:pPr>
        <w:snapToGrid w:val="0"/>
        <w:spacing w:line="312" w:lineRule="auto"/>
      </w:pPr>
      <w:r>
        <w:drawing>
          <wp:inline distT="0" distB="0" distL="0" distR="0">
            <wp:extent cx="5760085" cy="2853055"/>
            <wp:effectExtent l="0" t="0" r="635" b="1206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10"/>
                    <a:stretch>
                      <a:fillRect/>
                    </a:stretch>
                  </pic:blipFill>
                  <pic:spPr>
                    <a:xfrm>
                      <a:off x="0" y="0"/>
                      <a:ext cx="5760085" cy="2853375"/>
                    </a:xfrm>
                    <a:prstGeom prst="rect">
                      <a:avLst/>
                    </a:prstGeom>
                  </pic:spPr>
                </pic:pic>
              </a:graphicData>
            </a:graphic>
          </wp:inline>
        </w:drawing>
      </w:r>
    </w:p>
    <w:p w14:paraId="4A3F055D">
      <w:pPr>
        <w:spacing w:line="360" w:lineRule="auto"/>
        <w:outlineLvl w:val="1"/>
        <w:rPr>
          <w:rFonts w:ascii="宋体" w:hAnsi="宋体" w:cs="宋体"/>
          <w:sz w:val="24"/>
          <w:szCs w:val="28"/>
        </w:rPr>
      </w:pPr>
      <w:r>
        <w:rPr>
          <w:rFonts w:hint="eastAsia" w:ascii="宋体" w:hAnsi="宋体" w:cs="宋体"/>
          <w:sz w:val="24"/>
          <w:szCs w:val="28"/>
        </w:rPr>
        <w:t>5</w:t>
      </w:r>
      <w:r>
        <w:rPr>
          <w:rFonts w:hint="eastAsia" w:ascii="宋体" w:hAnsi="宋体" w:cs="宋体"/>
          <w:color w:val="000000"/>
          <w:sz w:val="24"/>
          <w:szCs w:val="28"/>
        </w:rPr>
        <w:t>.</w:t>
      </w:r>
      <w:r>
        <w:rPr>
          <w:rFonts w:ascii="宋体" w:hAnsi="宋体" w:cs="宋体"/>
          <w:color w:val="000000"/>
          <w:sz w:val="24"/>
          <w:szCs w:val="28"/>
        </w:rPr>
        <w:t>按要求填写所有信息，注意非生产类要填写合作单位，最后提交审批</w:t>
      </w:r>
    </w:p>
    <w:p w14:paraId="081DA701">
      <w:pPr>
        <w:pStyle w:val="10"/>
      </w:pPr>
    </w:p>
    <w:p w14:paraId="7D44B4A3">
      <w:r>
        <w:drawing>
          <wp:inline distT="0" distB="0" distL="0" distR="0">
            <wp:extent cx="5760085" cy="2809875"/>
            <wp:effectExtent l="0" t="0" r="635" b="952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11"/>
                    <a:stretch>
                      <a:fillRect/>
                    </a:stretch>
                  </pic:blipFill>
                  <pic:spPr>
                    <a:xfrm>
                      <a:off x="0" y="0"/>
                      <a:ext cx="5760085" cy="2810122"/>
                    </a:xfrm>
                    <a:prstGeom prst="rect">
                      <a:avLst/>
                    </a:prstGeom>
                  </pic:spPr>
                </pic:pic>
              </a:graphicData>
            </a:graphic>
          </wp:inline>
        </w:drawing>
      </w:r>
    </w:p>
    <w:p w14:paraId="01200E93">
      <w:pPr>
        <w:pStyle w:val="10"/>
      </w:pPr>
      <w:r>
        <w:drawing>
          <wp:inline distT="0" distB="0" distL="0" distR="0">
            <wp:extent cx="5760085" cy="2820035"/>
            <wp:effectExtent l="0" t="0" r="635" b="1460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12"/>
                    <a:stretch>
                      <a:fillRect/>
                    </a:stretch>
                  </pic:blipFill>
                  <pic:spPr>
                    <a:xfrm>
                      <a:off x="0" y="0"/>
                      <a:ext cx="5760085" cy="2820042"/>
                    </a:xfrm>
                    <a:prstGeom prst="rect">
                      <a:avLst/>
                    </a:prstGeom>
                  </pic:spPr>
                </pic:pic>
              </a:graphicData>
            </a:graphic>
          </wp:inline>
        </w:drawing>
      </w:r>
    </w:p>
    <w:p w14:paraId="36A9C8BF">
      <w:pPr>
        <w:pStyle w:val="10"/>
      </w:pPr>
    </w:p>
    <w:p w14:paraId="409E2A46">
      <w:pPr>
        <w:pStyle w:val="10"/>
        <w:rPr>
          <w:rFonts w:hAnsi="宋体" w:cs="Times New Roman"/>
          <w:b/>
          <w:color w:val="000000"/>
          <w:sz w:val="24"/>
          <w:szCs w:val="24"/>
        </w:rPr>
      </w:pPr>
    </w:p>
    <w:p w14:paraId="3E573876">
      <w:pPr>
        <w:pStyle w:val="10"/>
        <w:rPr>
          <w:rFonts w:hAnsi="宋体" w:cs="Times New Roman"/>
          <w:b/>
          <w:color w:val="000000"/>
          <w:sz w:val="24"/>
          <w:szCs w:val="24"/>
        </w:rPr>
      </w:pPr>
    </w:p>
    <w:p w14:paraId="0C0AFB2A">
      <w:pPr>
        <w:pStyle w:val="10"/>
        <w:rPr>
          <w:rFonts w:hAnsi="宋体" w:cs="Times New Roman"/>
          <w:b/>
          <w:color w:val="000000"/>
          <w:sz w:val="24"/>
          <w:szCs w:val="24"/>
        </w:rPr>
      </w:pPr>
    </w:p>
    <w:p w14:paraId="669DBF01">
      <w:pPr>
        <w:pStyle w:val="10"/>
        <w:rPr>
          <w:rFonts w:hAnsi="宋体" w:cs="Times New Roman"/>
          <w:b/>
          <w:color w:val="000000"/>
          <w:sz w:val="24"/>
          <w:szCs w:val="24"/>
        </w:rPr>
      </w:pPr>
    </w:p>
    <w:p w14:paraId="6E460321">
      <w:pPr>
        <w:pStyle w:val="10"/>
        <w:rPr>
          <w:rFonts w:hAnsi="宋体" w:cs="Times New Roman"/>
          <w:b/>
          <w:color w:val="000000"/>
          <w:sz w:val="24"/>
          <w:szCs w:val="24"/>
        </w:rPr>
      </w:pPr>
    </w:p>
    <w:p w14:paraId="02949E9E">
      <w:pPr>
        <w:pStyle w:val="10"/>
        <w:rPr>
          <w:rFonts w:hAnsi="宋体" w:cs="Times New Roman"/>
          <w:b/>
          <w:color w:val="000000"/>
          <w:sz w:val="24"/>
          <w:szCs w:val="24"/>
        </w:rPr>
      </w:pPr>
    </w:p>
    <w:p w14:paraId="59DD4A2F">
      <w:pPr>
        <w:pStyle w:val="10"/>
        <w:rPr>
          <w:rFonts w:hAnsi="宋体" w:cs="Times New Roman"/>
          <w:b/>
          <w:color w:val="000000"/>
          <w:sz w:val="24"/>
          <w:szCs w:val="24"/>
        </w:rPr>
      </w:pPr>
    </w:p>
    <w:p w14:paraId="7B5304FF">
      <w:pPr>
        <w:pStyle w:val="10"/>
        <w:rPr>
          <w:rFonts w:hAnsi="宋体" w:cs="Times New Roman"/>
          <w:b/>
          <w:color w:val="000000"/>
          <w:sz w:val="24"/>
          <w:szCs w:val="24"/>
        </w:rPr>
      </w:pPr>
    </w:p>
    <w:p w14:paraId="40A01FD2">
      <w:pPr>
        <w:pStyle w:val="10"/>
        <w:rPr>
          <w:rFonts w:hAnsi="宋体" w:cs="Times New Roman"/>
          <w:b/>
          <w:color w:val="000000"/>
          <w:sz w:val="24"/>
          <w:szCs w:val="24"/>
        </w:rPr>
      </w:pPr>
    </w:p>
    <w:p w14:paraId="4C9C2576">
      <w:pPr>
        <w:pStyle w:val="10"/>
        <w:rPr>
          <w:rFonts w:hAnsi="宋体" w:cs="Times New Roman"/>
          <w:b/>
          <w:color w:val="000000"/>
          <w:sz w:val="24"/>
          <w:szCs w:val="24"/>
        </w:rPr>
      </w:pPr>
    </w:p>
    <w:p w14:paraId="60B82BFA">
      <w:pPr>
        <w:pStyle w:val="10"/>
        <w:rPr>
          <w:rFonts w:hAnsi="宋体" w:cs="Times New Roman"/>
          <w:b/>
          <w:color w:val="000000"/>
          <w:sz w:val="24"/>
          <w:szCs w:val="24"/>
        </w:rPr>
      </w:pPr>
    </w:p>
    <w:p w14:paraId="7E238B9E">
      <w:pPr>
        <w:pStyle w:val="10"/>
        <w:rPr>
          <w:rFonts w:hAnsi="宋体" w:cs="Times New Roman"/>
          <w:b/>
          <w:color w:val="000000"/>
          <w:sz w:val="24"/>
          <w:szCs w:val="24"/>
        </w:rPr>
      </w:pPr>
    </w:p>
    <w:p w14:paraId="3F782121">
      <w:pPr>
        <w:pStyle w:val="10"/>
        <w:rPr>
          <w:rFonts w:hAnsi="宋体" w:cs="Times New Roman"/>
          <w:b/>
          <w:color w:val="000000"/>
          <w:sz w:val="24"/>
          <w:szCs w:val="24"/>
        </w:rPr>
      </w:pPr>
    </w:p>
    <w:p w14:paraId="12978321">
      <w:pPr>
        <w:pStyle w:val="10"/>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Ansi="宋体" w:cs="Times New Roman"/>
          <w:b/>
          <w:color w:val="000000"/>
          <w:sz w:val="24"/>
          <w:szCs w:val="24"/>
        </w:rPr>
      </w:pPr>
    </w:p>
    <w:p w14:paraId="0548705B">
      <w:pPr>
        <w:pStyle w:val="10"/>
        <w:keepNext w:val="0"/>
        <w:keepLines w:val="0"/>
        <w:pageBreakBefore w:val="0"/>
        <w:widowControl w:val="0"/>
        <w:kinsoku/>
        <w:wordWrap/>
        <w:overflowPunct/>
        <w:topLinePunct w:val="0"/>
        <w:autoSpaceDE/>
        <w:autoSpaceDN/>
        <w:bidi w:val="0"/>
        <w:adjustRightInd/>
        <w:snapToGrid/>
        <w:spacing w:line="500" w:lineRule="exact"/>
        <w:jc w:val="center"/>
        <w:textAlignment w:val="auto"/>
        <w:outlineLvl w:val="1"/>
        <w:rPr>
          <w:rFonts w:hint="eastAsia" w:ascii="Times New Roman" w:hAnsi="Times New Roman" w:eastAsia="黑体" w:cs="Times New Roman"/>
          <w:b/>
          <w:bCs/>
          <w:sz w:val="36"/>
        </w:rPr>
      </w:pPr>
      <w:r>
        <w:rPr>
          <w:rFonts w:hint="eastAsia" w:ascii="Times New Roman" w:hAnsi="Times New Roman" w:eastAsia="黑体" w:cs="Times New Roman"/>
          <w:b/>
          <w:bCs/>
          <w:sz w:val="36"/>
        </w:rPr>
        <w:t>SRM系统供应商用户手册</w:t>
      </w:r>
    </w:p>
    <w:p w14:paraId="1A57B77D">
      <w:pPr>
        <w:pStyle w:val="10"/>
        <w:keepNext w:val="0"/>
        <w:keepLines w:val="0"/>
        <w:pageBreakBefore w:val="0"/>
        <w:widowControl w:val="0"/>
        <w:kinsoku/>
        <w:wordWrap/>
        <w:overflowPunct/>
        <w:topLinePunct w:val="0"/>
        <w:autoSpaceDE/>
        <w:autoSpaceDN/>
        <w:bidi w:val="0"/>
        <w:adjustRightInd/>
        <w:snapToGrid/>
        <w:spacing w:line="500" w:lineRule="exact"/>
        <w:jc w:val="center"/>
        <w:textAlignment w:val="auto"/>
        <w:outlineLvl w:val="1"/>
        <w:rPr>
          <w:rFonts w:hint="eastAsia" w:ascii="Times New Roman" w:hAnsi="Times New Roman" w:eastAsia="黑体" w:cs="Times New Roman"/>
          <w:b/>
          <w:bCs/>
          <w:sz w:val="36"/>
        </w:rPr>
      </w:pPr>
    </w:p>
    <w:p w14:paraId="0C6E1A6C">
      <w:pPr>
        <w:spacing w:line="360" w:lineRule="auto"/>
        <w:rPr>
          <w:rFonts w:ascii="宋体" w:hAnsi="宋体" w:cs="宋体"/>
          <w:sz w:val="24"/>
          <w:szCs w:val="24"/>
        </w:rPr>
      </w:pPr>
      <w:r>
        <w:rPr>
          <w:rFonts w:hint="eastAsia" w:ascii="宋体" w:hAnsi="宋体" w:cs="宋体"/>
          <w:color w:val="000000"/>
          <w:sz w:val="24"/>
          <w:szCs w:val="24"/>
        </w:rPr>
        <w:t>系统网址：</w:t>
      </w:r>
      <w:r>
        <w:fldChar w:fldCharType="begin"/>
      </w:r>
      <w:r>
        <w:instrText xml:space="preserve"> HYPERLINK "http://ecaitong.sinotruk.com:8012/" \t "dlt" </w:instrText>
      </w:r>
      <w:r>
        <w:fldChar w:fldCharType="separate"/>
      </w:r>
      <w:r>
        <w:rPr>
          <w:rStyle w:val="21"/>
          <w:rFonts w:hint="eastAsia" w:ascii="宋体" w:hAnsi="宋体" w:cs="宋体"/>
          <w:sz w:val="24"/>
          <w:szCs w:val="24"/>
        </w:rPr>
        <w:t>https://ecaitong.sinotruk.com:8012/</w:t>
      </w:r>
      <w:r>
        <w:rPr>
          <w:rStyle w:val="21"/>
          <w:rFonts w:hint="eastAsia" w:ascii="宋体" w:hAnsi="宋体" w:cs="宋体"/>
          <w:sz w:val="24"/>
          <w:szCs w:val="24"/>
        </w:rPr>
        <w:fldChar w:fldCharType="end"/>
      </w:r>
    </w:p>
    <w:p w14:paraId="186EBEE4">
      <w:pPr>
        <w:spacing w:line="360" w:lineRule="auto"/>
        <w:rPr>
          <w:rFonts w:ascii="宋体" w:hAnsi="宋体" w:cs="宋体"/>
          <w:sz w:val="24"/>
          <w:szCs w:val="24"/>
        </w:rPr>
      </w:pPr>
      <w:r>
        <w:rPr>
          <w:rFonts w:hint="eastAsia" w:ascii="宋体" w:hAnsi="宋体" w:cs="宋体"/>
          <w:color w:val="000000"/>
          <w:sz w:val="24"/>
          <w:szCs w:val="24"/>
        </w:rPr>
        <w:t>用 户 名：gys+供应商代码（</w:t>
      </w:r>
      <w:r>
        <w:rPr>
          <w:rFonts w:hint="eastAsia" w:ascii="宋体" w:hAnsi="宋体" w:cs="宋体"/>
          <w:color w:val="FF0000"/>
          <w:sz w:val="24"/>
          <w:szCs w:val="24"/>
        </w:rPr>
        <w:t>注意：注册完毕后，用户名不要用手机号登录</w:t>
      </w:r>
      <w:r>
        <w:rPr>
          <w:rFonts w:hint="eastAsia" w:ascii="宋体" w:hAnsi="宋体" w:cs="宋体"/>
          <w:color w:val="000000"/>
          <w:sz w:val="24"/>
          <w:szCs w:val="24"/>
        </w:rPr>
        <w:t>）</w:t>
      </w:r>
    </w:p>
    <w:p w14:paraId="2AEC7342">
      <w:pPr>
        <w:spacing w:line="360" w:lineRule="auto"/>
        <w:rPr>
          <w:rFonts w:ascii="宋体" w:hAnsi="宋体" w:cs="宋体"/>
          <w:sz w:val="24"/>
          <w:szCs w:val="24"/>
        </w:rPr>
      </w:pPr>
      <w:r>
        <w:rPr>
          <w:rFonts w:hint="eastAsia" w:ascii="宋体" w:hAnsi="宋体" w:cs="宋体"/>
          <w:color w:val="000000"/>
          <w:sz w:val="24"/>
          <w:szCs w:val="24"/>
        </w:rPr>
        <w:t>初始密码：scm@2022</w:t>
      </w:r>
    </w:p>
    <w:p w14:paraId="78719652">
      <w:pPr>
        <w:spacing w:line="360" w:lineRule="auto"/>
        <w:outlineLvl w:val="0"/>
        <w:rPr>
          <w:rFonts w:ascii="宋体" w:hAnsi="宋体" w:cs="宋体"/>
          <w:b/>
          <w:bCs/>
          <w:color w:val="000000"/>
          <w:sz w:val="24"/>
          <w:szCs w:val="24"/>
        </w:rPr>
      </w:pPr>
      <w:bookmarkStart w:id="24" w:name="_Toc3323"/>
      <w:r>
        <w:rPr>
          <w:rFonts w:hint="eastAsia" w:ascii="宋体" w:hAnsi="宋体" w:cs="宋体"/>
          <w:b/>
          <w:bCs/>
          <w:color w:val="000000"/>
          <w:sz w:val="24"/>
          <w:szCs w:val="24"/>
        </w:rPr>
        <w:t>1.供应商应标</w:t>
      </w:r>
      <w:bookmarkEnd w:id="24"/>
    </w:p>
    <w:p w14:paraId="472140BA">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供应商应标</w:t>
      </w:r>
    </w:p>
    <w:p w14:paraId="4578BC76">
      <w:pPr>
        <w:spacing w:line="360" w:lineRule="auto"/>
        <w:rPr>
          <w:rFonts w:ascii="宋体" w:hAnsi="宋体" w:cs="宋体"/>
          <w:color w:val="000000"/>
          <w:sz w:val="24"/>
          <w:szCs w:val="24"/>
        </w:rPr>
      </w:pPr>
      <w:r>
        <w:rPr>
          <w:rFonts w:ascii="宋体" w:hAnsi="宋体" w:cs="宋体"/>
          <w:color w:val="000000"/>
          <w:sz w:val="24"/>
          <w:szCs w:val="24"/>
        </w:rPr>
        <w:t>点击应标，上传文件之后点击提交。</w:t>
      </w:r>
    </w:p>
    <w:p w14:paraId="4312AD90">
      <w:r>
        <w:drawing>
          <wp:inline distT="0" distB="0" distL="0" distR="0">
            <wp:extent cx="5760085" cy="2269490"/>
            <wp:effectExtent l="0" t="0" r="635" b="127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13"/>
                    <a:stretch>
                      <a:fillRect/>
                    </a:stretch>
                  </pic:blipFill>
                  <pic:spPr>
                    <a:xfrm>
                      <a:off x="0" y="0"/>
                      <a:ext cx="5760085" cy="2269864"/>
                    </a:xfrm>
                    <a:prstGeom prst="rect">
                      <a:avLst/>
                    </a:prstGeom>
                  </pic:spPr>
                </pic:pic>
              </a:graphicData>
            </a:graphic>
          </wp:inline>
        </w:drawing>
      </w:r>
    </w:p>
    <w:p w14:paraId="2EF22F8A"/>
    <w:p w14:paraId="6A471BAB">
      <w:pPr>
        <w:spacing w:line="360" w:lineRule="auto"/>
        <w:outlineLvl w:val="0"/>
        <w:rPr>
          <w:rFonts w:ascii="宋体" w:hAnsi="宋体" w:cs="宋体"/>
          <w:b/>
          <w:bCs/>
          <w:color w:val="000000"/>
          <w:sz w:val="24"/>
          <w:szCs w:val="24"/>
        </w:rPr>
      </w:pPr>
      <w:bookmarkStart w:id="25" w:name="_Toc4507"/>
      <w:r>
        <w:rPr>
          <w:rFonts w:hint="eastAsia" w:ascii="宋体" w:hAnsi="宋体" w:cs="宋体"/>
          <w:b/>
          <w:bCs/>
          <w:color w:val="000000"/>
          <w:sz w:val="24"/>
          <w:szCs w:val="24"/>
        </w:rPr>
        <w:t>2.供应商投标</w:t>
      </w:r>
      <w:bookmarkEnd w:id="25"/>
    </w:p>
    <w:p w14:paraId="53C2E85F">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供应商投标</w:t>
      </w:r>
    </w:p>
    <w:p w14:paraId="40B495DD">
      <w:pPr>
        <w:rPr>
          <w:rFonts w:ascii="宋体" w:hAnsi="宋体" w:cs="宋体"/>
          <w:color w:val="000000"/>
        </w:rPr>
      </w:pPr>
      <w:r>
        <w:rPr>
          <w:rFonts w:ascii="宋体" w:hAnsi="宋体" w:cs="宋体"/>
          <w:color w:val="000000"/>
        </w:rPr>
        <w:drawing>
          <wp:inline distT="0" distB="0" distL="0" distR="0">
            <wp:extent cx="5760085" cy="2125345"/>
            <wp:effectExtent l="0" t="0" r="63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14"/>
                    <a:stretch>
                      <a:fillRect/>
                    </a:stretch>
                  </pic:blipFill>
                  <pic:spPr>
                    <a:xfrm>
                      <a:off x="0" y="0"/>
                      <a:ext cx="5760085" cy="2125673"/>
                    </a:xfrm>
                    <a:prstGeom prst="rect">
                      <a:avLst/>
                    </a:prstGeom>
                  </pic:spPr>
                </pic:pic>
              </a:graphicData>
            </a:graphic>
          </wp:inline>
        </w:drawing>
      </w:r>
    </w:p>
    <w:p w14:paraId="4764FC31">
      <w:pPr>
        <w:spacing w:line="360" w:lineRule="auto"/>
        <w:rPr>
          <w:rFonts w:ascii="宋体" w:hAnsi="宋体" w:cs="宋体"/>
          <w:color w:val="000000"/>
          <w:sz w:val="24"/>
          <w:szCs w:val="28"/>
        </w:rPr>
      </w:pPr>
      <w:r>
        <w:rPr>
          <w:rFonts w:ascii="宋体" w:hAnsi="宋体" w:cs="宋体"/>
          <w:color w:val="000000"/>
          <w:sz w:val="24"/>
          <w:szCs w:val="28"/>
        </w:rPr>
        <w:t>点击投标按钮，进入详情页，输入投标报价并上传相应的附件。</w:t>
      </w:r>
    </w:p>
    <w:p w14:paraId="31726DCA">
      <w:pPr>
        <w:pStyle w:val="10"/>
      </w:pPr>
      <w:r>
        <w:rPr>
          <w:rFonts w:hint="eastAsia" w:hAnsi="宋体" w:cs="宋体"/>
          <w:color w:val="000000"/>
          <w:sz w:val="24"/>
          <w:szCs w:val="28"/>
        </w:rPr>
        <w:t>注意：系统内的投标报价单位为“万元”，如开标现场发现填错报价，即直接淘汰。</w:t>
      </w:r>
    </w:p>
    <w:p w14:paraId="55C063C7">
      <w:pPr>
        <w:pStyle w:val="5"/>
        <w:numPr>
          <w:ilvl w:val="0"/>
          <w:numId w:val="0"/>
        </w:numPr>
        <w:rPr>
          <w:rFonts w:eastAsia="Arial" w:cs="Arial"/>
          <w:color w:val="000000"/>
        </w:rPr>
      </w:pPr>
      <w:r>
        <w:rPr>
          <w:rFonts w:eastAsia="Arial" w:cs="Arial"/>
          <w:color w:val="000000"/>
        </w:rPr>
        <w:drawing>
          <wp:inline distT="0" distB="0" distL="0" distR="0">
            <wp:extent cx="5490210" cy="2668905"/>
            <wp:effectExtent l="0" t="0" r="11430" b="1333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15"/>
                    <a:stretch>
                      <a:fillRect/>
                    </a:stretch>
                  </pic:blipFill>
                  <pic:spPr>
                    <a:xfrm>
                      <a:off x="0" y="0"/>
                      <a:ext cx="5490210" cy="2669498"/>
                    </a:xfrm>
                    <a:prstGeom prst="rect">
                      <a:avLst/>
                    </a:prstGeom>
                  </pic:spPr>
                </pic:pic>
              </a:graphicData>
            </a:graphic>
          </wp:inline>
        </w:drawing>
      </w:r>
    </w:p>
    <w:p w14:paraId="463A3AE3">
      <w:pPr>
        <w:spacing w:line="360" w:lineRule="auto"/>
        <w:outlineLvl w:val="0"/>
        <w:rPr>
          <w:rFonts w:ascii="宋体" w:hAnsi="宋体" w:cs="宋体"/>
          <w:b/>
          <w:bCs/>
          <w:color w:val="000000"/>
          <w:sz w:val="24"/>
          <w:szCs w:val="24"/>
        </w:rPr>
      </w:pPr>
      <w:bookmarkStart w:id="26" w:name="_Toc30037"/>
      <w:r>
        <w:rPr>
          <w:rFonts w:hint="eastAsia" w:ascii="宋体" w:hAnsi="宋体" w:cs="宋体"/>
          <w:b/>
          <w:bCs/>
          <w:color w:val="000000"/>
          <w:sz w:val="24"/>
          <w:szCs w:val="24"/>
        </w:rPr>
        <w:t>3.供应商技术标澄清函</w:t>
      </w:r>
      <w:bookmarkEnd w:id="26"/>
    </w:p>
    <w:p w14:paraId="4E0D83A1">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供应商技术标澄清函</w:t>
      </w:r>
    </w:p>
    <w:p w14:paraId="5D4C00EB">
      <w:pPr>
        <w:spacing w:line="360" w:lineRule="auto"/>
        <w:rPr>
          <w:rFonts w:ascii="宋体" w:hAnsi="宋体" w:cs="宋体"/>
          <w:sz w:val="24"/>
          <w:szCs w:val="24"/>
        </w:rPr>
      </w:pPr>
      <w:r>
        <w:rPr>
          <w:rFonts w:ascii="宋体" w:hAnsi="宋体" w:cs="宋体"/>
          <w:color w:val="000000"/>
          <w:sz w:val="24"/>
          <w:szCs w:val="24"/>
        </w:rPr>
        <w:t>点击编辑按钮进入系统，上传技术标澄清函。</w:t>
      </w:r>
    </w:p>
    <w:p w14:paraId="111D381F">
      <w:pPr>
        <w:spacing w:line="360" w:lineRule="auto"/>
        <w:rPr>
          <w:rFonts w:ascii="Arial" w:hAnsi="Arial" w:eastAsia="Arial" w:cs="Arial"/>
          <w:color w:val="000000"/>
          <w:sz w:val="28"/>
        </w:rPr>
      </w:pPr>
      <w:r>
        <w:rPr>
          <w:rFonts w:ascii="宋体" w:hAnsi="宋体" w:cs="宋体"/>
          <w:color w:val="000000"/>
          <w:sz w:val="24"/>
          <w:szCs w:val="24"/>
        </w:rPr>
        <w:t>开标之后所有投标的供应商都可编辑提交，技术标入围之后</w:t>
      </w:r>
      <w:r>
        <w:rPr>
          <w:rFonts w:hint="eastAsia" w:ascii="宋体" w:hAnsi="宋体" w:cs="宋体"/>
          <w:color w:val="000000"/>
          <w:sz w:val="24"/>
          <w:szCs w:val="24"/>
        </w:rPr>
        <w:t xml:space="preserve"> </w:t>
      </w:r>
      <w:r>
        <w:rPr>
          <w:rFonts w:ascii="宋体" w:hAnsi="宋体" w:cs="宋体"/>
          <w:color w:val="000000"/>
          <w:sz w:val="24"/>
          <w:szCs w:val="24"/>
        </w:rPr>
        <w:t>都不可编辑</w:t>
      </w:r>
      <w:r>
        <w:rPr>
          <w:rFonts w:ascii="Arial" w:hAnsi="Arial" w:eastAsia="Arial" w:cs="Arial"/>
          <w:color w:val="000000"/>
          <w:sz w:val="28"/>
        </w:rPr>
        <w:drawing>
          <wp:inline distT="0" distB="0" distL="0" distR="0">
            <wp:extent cx="5490210" cy="1992630"/>
            <wp:effectExtent l="0" t="0" r="11430" b="381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16"/>
                    <a:stretch>
                      <a:fillRect/>
                    </a:stretch>
                  </pic:blipFill>
                  <pic:spPr>
                    <a:xfrm>
                      <a:off x="0" y="0"/>
                      <a:ext cx="5490210" cy="1992743"/>
                    </a:xfrm>
                    <a:prstGeom prst="rect">
                      <a:avLst/>
                    </a:prstGeom>
                  </pic:spPr>
                </pic:pic>
              </a:graphicData>
            </a:graphic>
          </wp:inline>
        </w:drawing>
      </w:r>
    </w:p>
    <w:p w14:paraId="51AA2B17">
      <w:pPr>
        <w:spacing w:line="360" w:lineRule="auto"/>
        <w:outlineLvl w:val="0"/>
        <w:rPr>
          <w:rFonts w:ascii="宋体" w:hAnsi="宋体" w:cs="宋体"/>
          <w:b/>
          <w:bCs/>
          <w:color w:val="000000"/>
          <w:sz w:val="24"/>
          <w:szCs w:val="24"/>
        </w:rPr>
      </w:pPr>
      <w:bookmarkStart w:id="27" w:name="_Toc3204"/>
      <w:r>
        <w:rPr>
          <w:rFonts w:hint="eastAsia" w:ascii="宋体" w:hAnsi="宋体" w:cs="宋体"/>
          <w:b/>
          <w:bCs/>
          <w:color w:val="000000"/>
          <w:sz w:val="24"/>
          <w:szCs w:val="24"/>
        </w:rPr>
        <w:t>4.供应商报价</w:t>
      </w:r>
      <w:bookmarkEnd w:id="27"/>
    </w:p>
    <w:p w14:paraId="3B5A6CA4">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供应商报价</w:t>
      </w:r>
    </w:p>
    <w:p w14:paraId="0B044AC4">
      <w:pPr>
        <w:spacing w:line="360" w:lineRule="auto"/>
        <w:rPr>
          <w:rFonts w:ascii="宋体" w:hAnsi="宋体" w:cs="宋体"/>
          <w:sz w:val="24"/>
          <w:szCs w:val="24"/>
        </w:rPr>
      </w:pPr>
      <w:r>
        <w:rPr>
          <w:rFonts w:ascii="宋体" w:hAnsi="宋体" w:cs="宋体"/>
          <w:color w:val="000000"/>
          <w:sz w:val="24"/>
          <w:szCs w:val="24"/>
        </w:rPr>
        <w:t>点击报价按钮进入报价详情界面，请在此轮报价起止时间内报价，否则无法报价。</w:t>
      </w:r>
    </w:p>
    <w:p w14:paraId="23F16CAE">
      <w:pPr>
        <w:spacing w:line="360" w:lineRule="auto"/>
        <w:outlineLvl w:val="0"/>
        <w:rPr>
          <w:rFonts w:ascii="宋体" w:hAnsi="宋体" w:cs="宋体"/>
          <w:b/>
          <w:bCs/>
          <w:color w:val="000000"/>
          <w:sz w:val="24"/>
          <w:szCs w:val="24"/>
        </w:rPr>
      </w:pPr>
      <w:bookmarkStart w:id="28" w:name="_Toc31317"/>
      <w:r>
        <w:rPr>
          <w:rFonts w:hint="eastAsia" w:ascii="宋体" w:hAnsi="宋体" w:cs="宋体"/>
          <w:b/>
          <w:bCs/>
          <w:color w:val="000000"/>
          <w:sz w:val="24"/>
          <w:szCs w:val="24"/>
        </w:rPr>
        <w:t>5.供应商澄清报价</w:t>
      </w:r>
      <w:bookmarkEnd w:id="28"/>
    </w:p>
    <w:p w14:paraId="6C007211">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供应商澄清报价</w:t>
      </w:r>
    </w:p>
    <w:p w14:paraId="1D1E295A">
      <w:pPr>
        <w:spacing w:line="360" w:lineRule="auto"/>
        <w:rPr>
          <w:rFonts w:ascii="宋体" w:hAnsi="宋体" w:cs="宋体"/>
          <w:sz w:val="24"/>
          <w:szCs w:val="24"/>
        </w:rPr>
      </w:pPr>
      <w:r>
        <w:rPr>
          <w:rFonts w:ascii="宋体" w:hAnsi="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14BADA86">
      <w:pPr>
        <w:pStyle w:val="5"/>
        <w:numPr>
          <w:ilvl w:val="0"/>
          <w:numId w:val="0"/>
        </w:numPr>
        <w:rPr>
          <w:rFonts w:eastAsia="Arial" w:cs="Arial"/>
          <w:color w:val="000000"/>
        </w:rPr>
      </w:pPr>
      <w:r>
        <w:rPr>
          <w:rFonts w:eastAsia="Arial" w:cs="Arial"/>
          <w:color w:val="000000"/>
        </w:rPr>
        <w:drawing>
          <wp:inline distT="0" distB="0" distL="0" distR="0">
            <wp:extent cx="5490210" cy="2544445"/>
            <wp:effectExtent l="0" t="0" r="11430" b="63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17"/>
                    <a:stretch>
                      <a:fillRect/>
                    </a:stretch>
                  </pic:blipFill>
                  <pic:spPr>
                    <a:xfrm>
                      <a:off x="0" y="0"/>
                      <a:ext cx="5490210" cy="2544669"/>
                    </a:xfrm>
                    <a:prstGeom prst="rect">
                      <a:avLst/>
                    </a:prstGeom>
                  </pic:spPr>
                </pic:pic>
              </a:graphicData>
            </a:graphic>
          </wp:inline>
        </w:drawing>
      </w:r>
    </w:p>
    <w:p w14:paraId="65199AAE">
      <w:pPr>
        <w:spacing w:line="360" w:lineRule="auto"/>
        <w:outlineLvl w:val="0"/>
        <w:rPr>
          <w:rFonts w:ascii="宋体" w:hAnsi="宋体" w:cs="宋体"/>
          <w:b/>
          <w:bCs/>
          <w:color w:val="000000"/>
          <w:sz w:val="24"/>
          <w:szCs w:val="24"/>
        </w:rPr>
      </w:pPr>
      <w:bookmarkStart w:id="29" w:name="_Toc26492"/>
      <w:r>
        <w:rPr>
          <w:rFonts w:hint="eastAsia" w:ascii="宋体" w:hAnsi="宋体" w:cs="宋体"/>
          <w:b/>
          <w:bCs/>
          <w:color w:val="000000"/>
          <w:sz w:val="24"/>
          <w:szCs w:val="24"/>
        </w:rPr>
        <w:t>6.供应商查看中标通知</w:t>
      </w:r>
      <w:bookmarkEnd w:id="29"/>
    </w:p>
    <w:p w14:paraId="0F7C06C9">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中标项目</w:t>
      </w:r>
    </w:p>
    <w:p w14:paraId="36A3480E">
      <w:pPr>
        <w:spacing w:line="360" w:lineRule="auto"/>
        <w:rPr>
          <w:rFonts w:ascii="宋体" w:hAnsi="宋体" w:cs="宋体"/>
          <w:sz w:val="24"/>
          <w:szCs w:val="24"/>
        </w:rPr>
      </w:pPr>
      <w:r>
        <w:rPr>
          <w:rFonts w:ascii="宋体" w:hAnsi="宋体" w:cs="宋体"/>
          <w:color w:val="000000"/>
          <w:sz w:val="24"/>
          <w:szCs w:val="24"/>
        </w:rPr>
        <w:t>点击查看进入查看中标项目详情</w:t>
      </w:r>
    </w:p>
    <w:p w14:paraId="4B770198">
      <w:r>
        <w:drawing>
          <wp:inline distT="0" distB="0" distL="0" distR="0">
            <wp:extent cx="5760085" cy="2489835"/>
            <wp:effectExtent l="0" t="0" r="635" b="952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18"/>
                    <a:stretch>
                      <a:fillRect/>
                    </a:stretch>
                  </pic:blipFill>
                  <pic:spPr>
                    <a:xfrm>
                      <a:off x="0" y="0"/>
                      <a:ext cx="5760085" cy="2489835"/>
                    </a:xfrm>
                    <a:prstGeom prst="rect">
                      <a:avLst/>
                    </a:prstGeom>
                  </pic:spPr>
                </pic:pic>
              </a:graphicData>
            </a:graphic>
          </wp:inline>
        </w:drawing>
      </w:r>
    </w:p>
    <w:p w14:paraId="5704AF9D">
      <w:pPr>
        <w:pStyle w:val="10"/>
        <w:rPr>
          <w:rFonts w:hAnsi="宋体" w:cs="Times New Roman"/>
          <w:b/>
          <w:color w:val="000000"/>
          <w:sz w:val="24"/>
          <w:szCs w:val="24"/>
        </w:rPr>
      </w:pPr>
    </w:p>
    <w:p w14:paraId="1E7039ED">
      <w:pPr>
        <w:spacing w:line="440" w:lineRule="exact"/>
        <w:ind w:firstLine="420" w:firstLineChars="200"/>
        <w:rPr>
          <w:rFonts w:ascii="宋体" w:hAnsi="Courier New"/>
        </w:rPr>
      </w:pPr>
    </w:p>
    <w:p w14:paraId="298CB27A">
      <w:pPr>
        <w:pStyle w:val="7"/>
        <w:rPr>
          <w:rFonts w:ascii="宋体" w:hAnsi="宋体"/>
          <w:sz w:val="24"/>
        </w:rPr>
      </w:pPr>
    </w:p>
    <w:p w14:paraId="121AC0ED">
      <w:pPr>
        <w:pStyle w:val="7"/>
      </w:pPr>
    </w:p>
    <w:p w14:paraId="39980639"/>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8"/>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等线">
    <w:panose1 w:val="02010600030101010101"/>
    <w:charset w:val="86"/>
    <w:family w:val="auto"/>
    <w:pitch w:val="default"/>
    <w:sig w:usb0="A00002BF" w:usb1="38CF7CFA" w:usb2="00000016" w:usb3="00000000" w:csb0="0004000F" w:csb1="00000000"/>
  </w:font>
  <w:font w:name="方正小标宋简体">
    <w:panose1 w:val="02000000000000000000"/>
    <w:charset w:val="86"/>
    <w:family w:val="script"/>
    <w:pitch w:val="default"/>
    <w:sig w:usb0="A00002BF" w:usb1="184F6CFA" w:usb2="00000012" w:usb3="00000000" w:csb0="00040001" w:csb1="00000000"/>
  </w:font>
  <w:font w:name="仿宋">
    <w:panose1 w:val="02010609060101010101"/>
    <w:charset w:val="86"/>
    <w:family w:val="modern"/>
    <w:pitch w:val="default"/>
    <w:sig w:usb0="800002BF" w:usb1="38CF7CFA" w:usb2="00000016" w:usb3="00000000" w:csb0="00040001" w:csb1="00000000"/>
  </w:font>
  <w:font w:name="楷体_GB2312">
    <w:panose1 w:val="02010609030101010101"/>
    <w:charset w:val="86"/>
    <w:family w:val="modern"/>
    <w:pitch w:val="default"/>
    <w:sig w:usb0="00000001" w:usb1="080E0000" w:usb2="00000000" w:usb3="00000000" w:csb0="00040000" w:csb1="00000000"/>
  </w:font>
  <w:font w:name="CIDFont">
    <w:altName w:val="Segoe Print"/>
    <w:panose1 w:val="00000000000000000000"/>
    <w:charset w:val="00"/>
    <w:family w:val="auto"/>
    <w:pitch w:val="default"/>
    <w:sig w:usb0="00000000" w:usb1="00000000" w:usb2="00000000" w:usb3="00000000" w:csb0="00000000" w:csb1="00000000"/>
  </w:font>
  <w:font w:name="楷体">
    <w:panose1 w:val="02010609060101010101"/>
    <w:charset w:val="86"/>
    <w:family w:val="modern"/>
    <w:pitch w:val="default"/>
    <w:sig w:usb0="800002BF" w:usb1="38CF7CFA" w:usb2="00000016" w:usb3="00000000" w:csb0="00040001"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B1B439">
    <w:pPr>
      <w:pStyle w:val="2"/>
    </w:pP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100" name="文本框 10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D4A4195">
                          <w:pPr>
                            <w:pStyle w:val="2"/>
                          </w:pPr>
                          <w:r>
                            <w:fldChar w:fldCharType="begin"/>
                          </w:r>
                          <w:r>
                            <w:instrText xml:space="preserve"> PAGE  \* MERGEFORMAT </w:instrText>
                          </w:r>
                          <w:r>
                            <w:fldChar w:fldCharType="separate"/>
                          </w:r>
                          <w:r>
                            <w:t>23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BlIYkrAgAAW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CwZSGJKwIAAFkEAAAOAAAAAAAAAAEAIAAAAB8BAABkcnMvZTJvRG9jLnhtbFBLBQYAAAAABgAG&#10;AFkBAAC8BQAAAAA=&#10;">
              <v:fill on="f" focussize="0,0"/>
              <v:stroke on="f" weight="0.5pt"/>
              <v:imagedata o:title=""/>
              <o:lock v:ext="edit" aspectratio="f"/>
              <v:textbox inset="0mm,0mm,0mm,0mm" style="mso-fit-shape-to-text:t;">
                <w:txbxContent>
                  <w:p w14:paraId="2D4A4195">
                    <w:pPr>
                      <w:pStyle w:val="2"/>
                    </w:pPr>
                    <w:r>
                      <w:fldChar w:fldCharType="begin"/>
                    </w:r>
                    <w:r>
                      <w:instrText xml:space="preserve"> PAGE  \* MERGEFORMAT </w:instrText>
                    </w:r>
                    <w:r>
                      <w:fldChar w:fldCharType="separate"/>
                    </w:r>
                    <w:r>
                      <w:t>23</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A24388">
    <w:pPr>
      <w:pStyle w:val="2"/>
      <w:jc w:val="center"/>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101" name="文本框 10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8CB1238">
                          <w:pPr>
                            <w:pStyle w:val="2"/>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XjoN1CwCAABZBAAADgAAAAAAAAABACAAAAAfAQAAZHJzL2Uyb0RvYy54bWxQSwUGAAAAAAYA&#10;BgBZAQAAvQUAAAAA&#10;">
              <v:fill on="f" focussize="0,0"/>
              <v:stroke on="f" weight="0.5pt"/>
              <v:imagedata o:title=""/>
              <o:lock v:ext="edit" aspectratio="f"/>
              <v:textbox inset="0mm,0mm,0mm,0mm" style="mso-fit-shape-to-text:t;">
                <w:txbxContent>
                  <w:p w14:paraId="68CB1238">
                    <w:pPr>
                      <w:pStyle w:val="2"/>
                    </w:pPr>
                    <w:r>
                      <w:fldChar w:fldCharType="begin"/>
                    </w:r>
                    <w:r>
                      <w:instrText xml:space="preserve"> PAGE  \* MERGEFORMAT </w:instrText>
                    </w:r>
                    <w:r>
                      <w:fldChar w:fldCharType="separate"/>
                    </w:r>
                    <w:r>
                      <w:t>1</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8DB06A">
    <w:pPr>
      <w:pStyle w:val="13"/>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AA03BC2"/>
    <w:multiLevelType w:val="singleLevel"/>
    <w:tmpl w:val="AAA03BC2"/>
    <w:lvl w:ilvl="0" w:tentative="0">
      <w:start w:val="1"/>
      <w:numFmt w:val="decimal"/>
      <w:pStyle w:val="5"/>
      <w:lvlText w:val="%1."/>
      <w:lvlJc w:val="left"/>
      <w:pPr>
        <w:ind w:left="425" w:hanging="425"/>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ThkMGM3MmM4NzExZDMyMDAwZjczNTM5Nzg4MzI5YTcifQ=="/>
  </w:docVars>
  <w:rsids>
    <w:rsidRoot w:val="00BB4839"/>
    <w:rsid w:val="000039FD"/>
    <w:rsid w:val="00015299"/>
    <w:rsid w:val="00015E0D"/>
    <w:rsid w:val="000244B3"/>
    <w:rsid w:val="00037FEA"/>
    <w:rsid w:val="00040CDD"/>
    <w:rsid w:val="00054BC1"/>
    <w:rsid w:val="00066BC6"/>
    <w:rsid w:val="000918C3"/>
    <w:rsid w:val="000A08F6"/>
    <w:rsid w:val="000A6C1D"/>
    <w:rsid w:val="000D030F"/>
    <w:rsid w:val="000D6816"/>
    <w:rsid w:val="000D7E43"/>
    <w:rsid w:val="000E11DF"/>
    <w:rsid w:val="000E1D6A"/>
    <w:rsid w:val="000E1EB0"/>
    <w:rsid w:val="000F74C7"/>
    <w:rsid w:val="001054BC"/>
    <w:rsid w:val="001111A1"/>
    <w:rsid w:val="001160A0"/>
    <w:rsid w:val="00124B86"/>
    <w:rsid w:val="00125A4C"/>
    <w:rsid w:val="0014725F"/>
    <w:rsid w:val="00161153"/>
    <w:rsid w:val="00176A3F"/>
    <w:rsid w:val="00181E01"/>
    <w:rsid w:val="00182A00"/>
    <w:rsid w:val="00187025"/>
    <w:rsid w:val="00196A2A"/>
    <w:rsid w:val="001B3716"/>
    <w:rsid w:val="001E2456"/>
    <w:rsid w:val="001E2654"/>
    <w:rsid w:val="001E2EDF"/>
    <w:rsid w:val="001F0C50"/>
    <w:rsid w:val="001F739D"/>
    <w:rsid w:val="00202D2A"/>
    <w:rsid w:val="00213DA4"/>
    <w:rsid w:val="00214C54"/>
    <w:rsid w:val="00224E70"/>
    <w:rsid w:val="00225CB4"/>
    <w:rsid w:val="00236C19"/>
    <w:rsid w:val="00255A5F"/>
    <w:rsid w:val="00257531"/>
    <w:rsid w:val="00262E60"/>
    <w:rsid w:val="00263E3C"/>
    <w:rsid w:val="00281627"/>
    <w:rsid w:val="00295568"/>
    <w:rsid w:val="00296943"/>
    <w:rsid w:val="002A46AD"/>
    <w:rsid w:val="002B42E4"/>
    <w:rsid w:val="002D071B"/>
    <w:rsid w:val="002D6C16"/>
    <w:rsid w:val="002E2654"/>
    <w:rsid w:val="002E3BFB"/>
    <w:rsid w:val="00301417"/>
    <w:rsid w:val="003140E9"/>
    <w:rsid w:val="00317394"/>
    <w:rsid w:val="0032767B"/>
    <w:rsid w:val="003351E4"/>
    <w:rsid w:val="003414D2"/>
    <w:rsid w:val="00341BD2"/>
    <w:rsid w:val="00343BE5"/>
    <w:rsid w:val="00353674"/>
    <w:rsid w:val="0035570A"/>
    <w:rsid w:val="00366263"/>
    <w:rsid w:val="00367B34"/>
    <w:rsid w:val="00375545"/>
    <w:rsid w:val="0038116C"/>
    <w:rsid w:val="00381C08"/>
    <w:rsid w:val="003A0656"/>
    <w:rsid w:val="003A7560"/>
    <w:rsid w:val="003C64EB"/>
    <w:rsid w:val="003D1BDF"/>
    <w:rsid w:val="004063DD"/>
    <w:rsid w:val="00420506"/>
    <w:rsid w:val="004261A7"/>
    <w:rsid w:val="004365F7"/>
    <w:rsid w:val="00441012"/>
    <w:rsid w:val="0046389B"/>
    <w:rsid w:val="00465A2D"/>
    <w:rsid w:val="0047546E"/>
    <w:rsid w:val="00482A3B"/>
    <w:rsid w:val="00486F05"/>
    <w:rsid w:val="00487E03"/>
    <w:rsid w:val="004B546C"/>
    <w:rsid w:val="005012AB"/>
    <w:rsid w:val="00514C62"/>
    <w:rsid w:val="00530E26"/>
    <w:rsid w:val="005559C2"/>
    <w:rsid w:val="0056559A"/>
    <w:rsid w:val="00572F5C"/>
    <w:rsid w:val="00573F5B"/>
    <w:rsid w:val="00587F93"/>
    <w:rsid w:val="005B6585"/>
    <w:rsid w:val="005B6F2C"/>
    <w:rsid w:val="0060686A"/>
    <w:rsid w:val="00607BC2"/>
    <w:rsid w:val="006159F9"/>
    <w:rsid w:val="00620178"/>
    <w:rsid w:val="00624856"/>
    <w:rsid w:val="00650980"/>
    <w:rsid w:val="006531A5"/>
    <w:rsid w:val="006648FD"/>
    <w:rsid w:val="00664D1E"/>
    <w:rsid w:val="00673CCD"/>
    <w:rsid w:val="0068717A"/>
    <w:rsid w:val="00696583"/>
    <w:rsid w:val="00697EA2"/>
    <w:rsid w:val="006A1773"/>
    <w:rsid w:val="006A4830"/>
    <w:rsid w:val="006A7C26"/>
    <w:rsid w:val="006B1916"/>
    <w:rsid w:val="006B45EA"/>
    <w:rsid w:val="006E22DF"/>
    <w:rsid w:val="006F2D1D"/>
    <w:rsid w:val="006F4C09"/>
    <w:rsid w:val="006F7257"/>
    <w:rsid w:val="00730521"/>
    <w:rsid w:val="007407D7"/>
    <w:rsid w:val="00741A30"/>
    <w:rsid w:val="007A66C5"/>
    <w:rsid w:val="007E1D25"/>
    <w:rsid w:val="007E7530"/>
    <w:rsid w:val="00805D91"/>
    <w:rsid w:val="00826C1B"/>
    <w:rsid w:val="00833CE3"/>
    <w:rsid w:val="0083414B"/>
    <w:rsid w:val="00873E3A"/>
    <w:rsid w:val="008861E0"/>
    <w:rsid w:val="0088706A"/>
    <w:rsid w:val="00896D21"/>
    <w:rsid w:val="008B4C89"/>
    <w:rsid w:val="008F002C"/>
    <w:rsid w:val="00905806"/>
    <w:rsid w:val="00917EDB"/>
    <w:rsid w:val="009275EE"/>
    <w:rsid w:val="009641E2"/>
    <w:rsid w:val="009A24A5"/>
    <w:rsid w:val="009D39EF"/>
    <w:rsid w:val="009D706A"/>
    <w:rsid w:val="009E21EB"/>
    <w:rsid w:val="00A118B9"/>
    <w:rsid w:val="00A15446"/>
    <w:rsid w:val="00A52DC5"/>
    <w:rsid w:val="00A6747D"/>
    <w:rsid w:val="00A7293D"/>
    <w:rsid w:val="00A87200"/>
    <w:rsid w:val="00A9121B"/>
    <w:rsid w:val="00A93987"/>
    <w:rsid w:val="00A94E4E"/>
    <w:rsid w:val="00AA31BE"/>
    <w:rsid w:val="00AA3A13"/>
    <w:rsid w:val="00AA7B2B"/>
    <w:rsid w:val="00AD2690"/>
    <w:rsid w:val="00AE3E17"/>
    <w:rsid w:val="00AE5556"/>
    <w:rsid w:val="00B04952"/>
    <w:rsid w:val="00B27112"/>
    <w:rsid w:val="00B30BF4"/>
    <w:rsid w:val="00B4039D"/>
    <w:rsid w:val="00B47C6E"/>
    <w:rsid w:val="00B562B0"/>
    <w:rsid w:val="00B71897"/>
    <w:rsid w:val="00B71E1F"/>
    <w:rsid w:val="00B81D55"/>
    <w:rsid w:val="00B860B4"/>
    <w:rsid w:val="00B91B85"/>
    <w:rsid w:val="00B95837"/>
    <w:rsid w:val="00B97D41"/>
    <w:rsid w:val="00BB30E9"/>
    <w:rsid w:val="00BB4839"/>
    <w:rsid w:val="00C26C15"/>
    <w:rsid w:val="00C32311"/>
    <w:rsid w:val="00C55D77"/>
    <w:rsid w:val="00CE04CF"/>
    <w:rsid w:val="00CE4EB9"/>
    <w:rsid w:val="00D03851"/>
    <w:rsid w:val="00D047CB"/>
    <w:rsid w:val="00D21473"/>
    <w:rsid w:val="00D43562"/>
    <w:rsid w:val="00D5154E"/>
    <w:rsid w:val="00D56F7E"/>
    <w:rsid w:val="00D626B3"/>
    <w:rsid w:val="00D6684E"/>
    <w:rsid w:val="00D70EB3"/>
    <w:rsid w:val="00D72C39"/>
    <w:rsid w:val="00D95ED4"/>
    <w:rsid w:val="00DB02C7"/>
    <w:rsid w:val="00DC2D3B"/>
    <w:rsid w:val="00E03EDC"/>
    <w:rsid w:val="00E0425B"/>
    <w:rsid w:val="00E05644"/>
    <w:rsid w:val="00E0592B"/>
    <w:rsid w:val="00E13231"/>
    <w:rsid w:val="00E15CD1"/>
    <w:rsid w:val="00E305E2"/>
    <w:rsid w:val="00E375E6"/>
    <w:rsid w:val="00E4366F"/>
    <w:rsid w:val="00E51036"/>
    <w:rsid w:val="00E51F56"/>
    <w:rsid w:val="00E67661"/>
    <w:rsid w:val="00E756A6"/>
    <w:rsid w:val="00E871EE"/>
    <w:rsid w:val="00E9166E"/>
    <w:rsid w:val="00E9543F"/>
    <w:rsid w:val="00E95900"/>
    <w:rsid w:val="00E97E73"/>
    <w:rsid w:val="00EF5FCA"/>
    <w:rsid w:val="00F05D31"/>
    <w:rsid w:val="00F22435"/>
    <w:rsid w:val="00F2273D"/>
    <w:rsid w:val="00F25542"/>
    <w:rsid w:val="00F25F15"/>
    <w:rsid w:val="00F40D51"/>
    <w:rsid w:val="00F50A8B"/>
    <w:rsid w:val="00F8614E"/>
    <w:rsid w:val="00FA4D06"/>
    <w:rsid w:val="00FC5B3D"/>
    <w:rsid w:val="00FE438B"/>
    <w:rsid w:val="00FF11E7"/>
    <w:rsid w:val="016139CC"/>
    <w:rsid w:val="018E7819"/>
    <w:rsid w:val="02436043"/>
    <w:rsid w:val="02611E54"/>
    <w:rsid w:val="026933C1"/>
    <w:rsid w:val="02D46657"/>
    <w:rsid w:val="034858F1"/>
    <w:rsid w:val="036A5588"/>
    <w:rsid w:val="03D3663B"/>
    <w:rsid w:val="0425785D"/>
    <w:rsid w:val="04AE64BD"/>
    <w:rsid w:val="04F311AF"/>
    <w:rsid w:val="05011ADD"/>
    <w:rsid w:val="0622059D"/>
    <w:rsid w:val="071B07B5"/>
    <w:rsid w:val="074E1599"/>
    <w:rsid w:val="07CF4DE0"/>
    <w:rsid w:val="08215F31"/>
    <w:rsid w:val="087864F3"/>
    <w:rsid w:val="08AD4471"/>
    <w:rsid w:val="08BB245F"/>
    <w:rsid w:val="08FD1FCF"/>
    <w:rsid w:val="096F3207"/>
    <w:rsid w:val="09CE47AD"/>
    <w:rsid w:val="0A0124A3"/>
    <w:rsid w:val="0A2B13BC"/>
    <w:rsid w:val="0B45790A"/>
    <w:rsid w:val="0B8373EF"/>
    <w:rsid w:val="0BE51013"/>
    <w:rsid w:val="0C853B1A"/>
    <w:rsid w:val="0C8602EC"/>
    <w:rsid w:val="0CF10C4B"/>
    <w:rsid w:val="0CF84B54"/>
    <w:rsid w:val="0D1036FE"/>
    <w:rsid w:val="0D3E2F48"/>
    <w:rsid w:val="0DC63892"/>
    <w:rsid w:val="0DE97B5E"/>
    <w:rsid w:val="0E1A3BB0"/>
    <w:rsid w:val="0E552513"/>
    <w:rsid w:val="0F0B47BD"/>
    <w:rsid w:val="0F793CA1"/>
    <w:rsid w:val="0F8F3712"/>
    <w:rsid w:val="10094131"/>
    <w:rsid w:val="107E484D"/>
    <w:rsid w:val="108C1EAE"/>
    <w:rsid w:val="10B503BE"/>
    <w:rsid w:val="11426303"/>
    <w:rsid w:val="12712DC5"/>
    <w:rsid w:val="1295180B"/>
    <w:rsid w:val="13A36145"/>
    <w:rsid w:val="13D15990"/>
    <w:rsid w:val="142B0E90"/>
    <w:rsid w:val="15030AD9"/>
    <w:rsid w:val="156712A9"/>
    <w:rsid w:val="16B207CA"/>
    <w:rsid w:val="170D59F4"/>
    <w:rsid w:val="1767588B"/>
    <w:rsid w:val="17E4768B"/>
    <w:rsid w:val="188E5DDF"/>
    <w:rsid w:val="18EF137B"/>
    <w:rsid w:val="193F66C8"/>
    <w:rsid w:val="1964413C"/>
    <w:rsid w:val="19782D58"/>
    <w:rsid w:val="19A22534"/>
    <w:rsid w:val="1AEC4E38"/>
    <w:rsid w:val="1BA67AEA"/>
    <w:rsid w:val="1C865AAB"/>
    <w:rsid w:val="1CD96BE2"/>
    <w:rsid w:val="1CE83979"/>
    <w:rsid w:val="1CF62125"/>
    <w:rsid w:val="1D436612"/>
    <w:rsid w:val="1ECD2CE2"/>
    <w:rsid w:val="1F58785A"/>
    <w:rsid w:val="1FCA4D36"/>
    <w:rsid w:val="1FFF212D"/>
    <w:rsid w:val="209B043C"/>
    <w:rsid w:val="20FD3E2F"/>
    <w:rsid w:val="213A0410"/>
    <w:rsid w:val="226C1A87"/>
    <w:rsid w:val="22AD41D9"/>
    <w:rsid w:val="22AF1419"/>
    <w:rsid w:val="22EF2384"/>
    <w:rsid w:val="230022FA"/>
    <w:rsid w:val="23222C5F"/>
    <w:rsid w:val="235B53E0"/>
    <w:rsid w:val="23D70CD9"/>
    <w:rsid w:val="241D144D"/>
    <w:rsid w:val="24983315"/>
    <w:rsid w:val="24AA6D8B"/>
    <w:rsid w:val="25702FF9"/>
    <w:rsid w:val="262650A6"/>
    <w:rsid w:val="263578BE"/>
    <w:rsid w:val="268F74A1"/>
    <w:rsid w:val="271C4BC8"/>
    <w:rsid w:val="27C8781B"/>
    <w:rsid w:val="281A0EA7"/>
    <w:rsid w:val="28DE3F9A"/>
    <w:rsid w:val="290618DB"/>
    <w:rsid w:val="294739C9"/>
    <w:rsid w:val="297D6603"/>
    <w:rsid w:val="29E37FC4"/>
    <w:rsid w:val="2A06727F"/>
    <w:rsid w:val="2A276A0A"/>
    <w:rsid w:val="2A8F62DB"/>
    <w:rsid w:val="2A9F6179"/>
    <w:rsid w:val="2B0D6C28"/>
    <w:rsid w:val="2B172940"/>
    <w:rsid w:val="2B8A2873"/>
    <w:rsid w:val="2B8B7A2B"/>
    <w:rsid w:val="2BAF21A8"/>
    <w:rsid w:val="2C73669D"/>
    <w:rsid w:val="2C830D32"/>
    <w:rsid w:val="2CF2314A"/>
    <w:rsid w:val="2D3A63C1"/>
    <w:rsid w:val="2E047B0F"/>
    <w:rsid w:val="2F5B483E"/>
    <w:rsid w:val="2F5D35C4"/>
    <w:rsid w:val="2F9F78B1"/>
    <w:rsid w:val="30611B6D"/>
    <w:rsid w:val="31416C5C"/>
    <w:rsid w:val="32354F6B"/>
    <w:rsid w:val="32904003"/>
    <w:rsid w:val="33B45F7E"/>
    <w:rsid w:val="343F692D"/>
    <w:rsid w:val="34DE5317"/>
    <w:rsid w:val="34F442A9"/>
    <w:rsid w:val="3507608E"/>
    <w:rsid w:val="352E5F4D"/>
    <w:rsid w:val="359A34CC"/>
    <w:rsid w:val="366E68DA"/>
    <w:rsid w:val="36F853A7"/>
    <w:rsid w:val="36FC151F"/>
    <w:rsid w:val="37F84C01"/>
    <w:rsid w:val="38037FF5"/>
    <w:rsid w:val="3828112E"/>
    <w:rsid w:val="38A02C28"/>
    <w:rsid w:val="39451C2E"/>
    <w:rsid w:val="3A6E018B"/>
    <w:rsid w:val="3BD57296"/>
    <w:rsid w:val="3BE36841"/>
    <w:rsid w:val="3C034C82"/>
    <w:rsid w:val="3C5B6745"/>
    <w:rsid w:val="3D9378F2"/>
    <w:rsid w:val="3DA556B2"/>
    <w:rsid w:val="3E1B0B74"/>
    <w:rsid w:val="3E5E705F"/>
    <w:rsid w:val="40803861"/>
    <w:rsid w:val="416E4E06"/>
    <w:rsid w:val="419D77EE"/>
    <w:rsid w:val="42092064"/>
    <w:rsid w:val="42552336"/>
    <w:rsid w:val="427E4891"/>
    <w:rsid w:val="43392C9A"/>
    <w:rsid w:val="43D745D9"/>
    <w:rsid w:val="43DE6767"/>
    <w:rsid w:val="43E560F1"/>
    <w:rsid w:val="44651EC3"/>
    <w:rsid w:val="44A377A9"/>
    <w:rsid w:val="452138FB"/>
    <w:rsid w:val="454F3145"/>
    <w:rsid w:val="45546485"/>
    <w:rsid w:val="460951E5"/>
    <w:rsid w:val="462078FF"/>
    <w:rsid w:val="47257848"/>
    <w:rsid w:val="474F288B"/>
    <w:rsid w:val="478234F8"/>
    <w:rsid w:val="47831DE0"/>
    <w:rsid w:val="47B93A3E"/>
    <w:rsid w:val="47F77BA0"/>
    <w:rsid w:val="48A8119E"/>
    <w:rsid w:val="48DE6819"/>
    <w:rsid w:val="49316623"/>
    <w:rsid w:val="494C4797"/>
    <w:rsid w:val="49C37D91"/>
    <w:rsid w:val="4A3835D3"/>
    <w:rsid w:val="4ABA06A9"/>
    <w:rsid w:val="4B182C41"/>
    <w:rsid w:val="4C5835B8"/>
    <w:rsid w:val="4C5C7A55"/>
    <w:rsid w:val="4C84765C"/>
    <w:rsid w:val="4CF5694E"/>
    <w:rsid w:val="4CF77C53"/>
    <w:rsid w:val="4D8B5F48"/>
    <w:rsid w:val="4DD4222A"/>
    <w:rsid w:val="4E607225"/>
    <w:rsid w:val="4EA17C8F"/>
    <w:rsid w:val="4EA86291"/>
    <w:rsid w:val="4F1869D4"/>
    <w:rsid w:val="4F3D0FA0"/>
    <w:rsid w:val="4F692025"/>
    <w:rsid w:val="4F890F7F"/>
    <w:rsid w:val="4FA63CB9"/>
    <w:rsid w:val="4FB541B4"/>
    <w:rsid w:val="4FD028FF"/>
    <w:rsid w:val="4FD64808"/>
    <w:rsid w:val="501D29FE"/>
    <w:rsid w:val="50583ADD"/>
    <w:rsid w:val="50B341F7"/>
    <w:rsid w:val="512B7338"/>
    <w:rsid w:val="51ED2C7A"/>
    <w:rsid w:val="535F39CE"/>
    <w:rsid w:val="53E00F74"/>
    <w:rsid w:val="551B75AE"/>
    <w:rsid w:val="55933D75"/>
    <w:rsid w:val="55996042"/>
    <w:rsid w:val="56531C0A"/>
    <w:rsid w:val="56BD475C"/>
    <w:rsid w:val="56CB6225"/>
    <w:rsid w:val="56FA7E8B"/>
    <w:rsid w:val="571A31DA"/>
    <w:rsid w:val="573351B0"/>
    <w:rsid w:val="57390C18"/>
    <w:rsid w:val="584C7F32"/>
    <w:rsid w:val="58840844"/>
    <w:rsid w:val="58CC3F96"/>
    <w:rsid w:val="5A9A023F"/>
    <w:rsid w:val="5AFC0F7F"/>
    <w:rsid w:val="5B5B3870"/>
    <w:rsid w:val="5B730F17"/>
    <w:rsid w:val="5B887BB7"/>
    <w:rsid w:val="5B900847"/>
    <w:rsid w:val="5BEE27B5"/>
    <w:rsid w:val="5C745223"/>
    <w:rsid w:val="5CB83619"/>
    <w:rsid w:val="5D2E7C24"/>
    <w:rsid w:val="5DDA6435"/>
    <w:rsid w:val="5E415870"/>
    <w:rsid w:val="5E6B3CD4"/>
    <w:rsid w:val="5E8F45A3"/>
    <w:rsid w:val="61335628"/>
    <w:rsid w:val="61484B8A"/>
    <w:rsid w:val="622003DE"/>
    <w:rsid w:val="62680DB7"/>
    <w:rsid w:val="62996751"/>
    <w:rsid w:val="630A358C"/>
    <w:rsid w:val="651061B6"/>
    <w:rsid w:val="656256ED"/>
    <w:rsid w:val="65E329B5"/>
    <w:rsid w:val="66624588"/>
    <w:rsid w:val="66A01E6F"/>
    <w:rsid w:val="67110EA9"/>
    <w:rsid w:val="678F02D7"/>
    <w:rsid w:val="67B36C0C"/>
    <w:rsid w:val="67FB08EB"/>
    <w:rsid w:val="67FB3025"/>
    <w:rsid w:val="68112FCA"/>
    <w:rsid w:val="686A7F84"/>
    <w:rsid w:val="693D6EB4"/>
    <w:rsid w:val="69811A86"/>
    <w:rsid w:val="69A955F8"/>
    <w:rsid w:val="69E441CA"/>
    <w:rsid w:val="6A1A0E21"/>
    <w:rsid w:val="6A6F0AC9"/>
    <w:rsid w:val="6A8739D3"/>
    <w:rsid w:val="6A973C6D"/>
    <w:rsid w:val="6BEA091C"/>
    <w:rsid w:val="6C1B622C"/>
    <w:rsid w:val="6C321490"/>
    <w:rsid w:val="6C3B4144"/>
    <w:rsid w:val="6C693B68"/>
    <w:rsid w:val="6C796D9F"/>
    <w:rsid w:val="6C8A7920"/>
    <w:rsid w:val="6CCB618B"/>
    <w:rsid w:val="6D056989"/>
    <w:rsid w:val="6D205895"/>
    <w:rsid w:val="6D4312CD"/>
    <w:rsid w:val="6E1A7569"/>
    <w:rsid w:val="6E7946DB"/>
    <w:rsid w:val="6EA41295"/>
    <w:rsid w:val="6F2A51A0"/>
    <w:rsid w:val="6F615376"/>
    <w:rsid w:val="6FE55C0C"/>
    <w:rsid w:val="700167C8"/>
    <w:rsid w:val="71270FB3"/>
    <w:rsid w:val="72912784"/>
    <w:rsid w:val="72C33CEF"/>
    <w:rsid w:val="730D7B4F"/>
    <w:rsid w:val="75A90798"/>
    <w:rsid w:val="771459A6"/>
    <w:rsid w:val="77607E69"/>
    <w:rsid w:val="77C96214"/>
    <w:rsid w:val="78E950F0"/>
    <w:rsid w:val="791A372E"/>
    <w:rsid w:val="797C365C"/>
    <w:rsid w:val="79DF58FF"/>
    <w:rsid w:val="7A092E01"/>
    <w:rsid w:val="7A9E4A38"/>
    <w:rsid w:val="7AD75E97"/>
    <w:rsid w:val="7AF379C5"/>
    <w:rsid w:val="7B186900"/>
    <w:rsid w:val="7B273A10"/>
    <w:rsid w:val="7B2B5921"/>
    <w:rsid w:val="7B4F4CA9"/>
    <w:rsid w:val="7D5207A9"/>
    <w:rsid w:val="7DE440B0"/>
    <w:rsid w:val="7F0810F9"/>
    <w:rsid w:val="7F2870AA"/>
    <w:rsid w:val="7F2F5FE4"/>
    <w:rsid w:val="7F35093E"/>
    <w:rsid w:val="7FFA7F6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0" w:semiHidden="0" w:name="heading 2"/>
    <w:lsdException w:qFormat="1" w:unhideWhenUsed="0" w:uiPriority="0" w:semiHidden="0" w:name="heading 3"/>
    <w:lsdException w:qFormat="1" w:uiPriority="0"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name="toc 1"/>
    <w:lsdException w:qFormat="1" w:uiPriority="39" w:name="toc 2"/>
    <w:lsdException w:qFormat="1"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qFormat="1" w:unhideWhenUsed="0" w:uiPriority="0"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0"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paragraph" w:styleId="3">
    <w:name w:val="heading 2"/>
    <w:basedOn w:val="1"/>
    <w:next w:val="1"/>
    <w:qFormat/>
    <w:uiPriority w:val="0"/>
    <w:pPr>
      <w:keepNext/>
      <w:keepLines/>
      <w:spacing w:before="260" w:after="260" w:line="413" w:lineRule="auto"/>
      <w:outlineLvl w:val="1"/>
    </w:pPr>
    <w:rPr>
      <w:rFonts w:ascii="Arial" w:hAnsi="Arial" w:eastAsia="黑体"/>
      <w:b/>
      <w:bCs/>
      <w:sz w:val="32"/>
      <w:szCs w:val="32"/>
      <w:lang w:val="zh-CN"/>
    </w:rPr>
  </w:style>
  <w:style w:type="paragraph" w:styleId="4">
    <w:name w:val="heading 3"/>
    <w:basedOn w:val="1"/>
    <w:next w:val="1"/>
    <w:qFormat/>
    <w:uiPriority w:val="0"/>
    <w:pPr>
      <w:keepNext/>
      <w:keepLines/>
      <w:spacing w:before="260" w:after="260" w:line="416" w:lineRule="auto"/>
      <w:outlineLvl w:val="2"/>
    </w:pPr>
    <w:rPr>
      <w:b/>
      <w:bCs/>
      <w:sz w:val="32"/>
      <w:szCs w:val="32"/>
      <w:lang w:val="zh-CN"/>
    </w:rPr>
  </w:style>
  <w:style w:type="paragraph" w:styleId="5">
    <w:name w:val="heading 4"/>
    <w:basedOn w:val="1"/>
    <w:next w:val="1"/>
    <w:unhideWhenUsed/>
    <w:qFormat/>
    <w:uiPriority w:val="0"/>
    <w:pPr>
      <w:keepNext/>
      <w:keepLines/>
      <w:numPr>
        <w:ilvl w:val="0"/>
        <w:numId w:val="1"/>
      </w:numPr>
      <w:spacing w:before="280" w:after="290" w:line="372" w:lineRule="auto"/>
      <w:outlineLvl w:val="3"/>
    </w:pPr>
    <w:rPr>
      <w:rFonts w:ascii="Arial" w:hAnsi="Arial" w:eastAsia="黑体"/>
      <w:b/>
      <w:sz w:val="28"/>
    </w:rPr>
  </w:style>
  <w:style w:type="character" w:default="1" w:styleId="20">
    <w:name w:val="Default Paragraph Font"/>
    <w:semiHidden/>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24"/>
    <w:unhideWhenUsed/>
    <w:qFormat/>
    <w:uiPriority w:val="99"/>
    <w:pPr>
      <w:tabs>
        <w:tab w:val="center" w:pos="4153"/>
        <w:tab w:val="right" w:pos="8306"/>
      </w:tabs>
      <w:snapToGrid w:val="0"/>
      <w:jc w:val="left"/>
    </w:pPr>
    <w:rPr>
      <w:sz w:val="18"/>
      <w:szCs w:val="18"/>
    </w:rPr>
  </w:style>
  <w:style w:type="paragraph" w:styleId="6">
    <w:name w:val="annotation text"/>
    <w:basedOn w:val="1"/>
    <w:link w:val="31"/>
    <w:semiHidden/>
    <w:unhideWhenUsed/>
    <w:qFormat/>
    <w:uiPriority w:val="99"/>
    <w:pPr>
      <w:jc w:val="left"/>
    </w:pPr>
  </w:style>
  <w:style w:type="paragraph" w:styleId="7">
    <w:name w:val="Body Text"/>
    <w:basedOn w:val="1"/>
    <w:link w:val="27"/>
    <w:qFormat/>
    <w:uiPriority w:val="0"/>
    <w:rPr>
      <w:rFonts w:ascii="仿宋_GB2312" w:eastAsia="仿宋_GB2312"/>
      <w:sz w:val="32"/>
    </w:rPr>
  </w:style>
  <w:style w:type="paragraph" w:styleId="8">
    <w:name w:val="Body Text Indent"/>
    <w:basedOn w:val="1"/>
    <w:link w:val="28"/>
    <w:qFormat/>
    <w:uiPriority w:val="0"/>
    <w:pPr>
      <w:spacing w:after="120"/>
      <w:ind w:left="420" w:leftChars="200"/>
    </w:pPr>
  </w:style>
  <w:style w:type="paragraph" w:styleId="9">
    <w:name w:val="toc 3"/>
    <w:basedOn w:val="1"/>
    <w:next w:val="1"/>
    <w:semiHidden/>
    <w:unhideWhenUsed/>
    <w:qFormat/>
    <w:uiPriority w:val="39"/>
    <w:pPr>
      <w:ind w:left="840" w:leftChars="400"/>
    </w:pPr>
  </w:style>
  <w:style w:type="paragraph" w:styleId="10">
    <w:name w:val="Plain Text"/>
    <w:basedOn w:val="1"/>
    <w:link w:val="25"/>
    <w:qFormat/>
    <w:uiPriority w:val="0"/>
    <w:rPr>
      <w:rFonts w:ascii="宋体" w:hAnsi="Courier New" w:cstheme="minorBidi"/>
      <w:szCs w:val="22"/>
    </w:rPr>
  </w:style>
  <w:style w:type="paragraph" w:styleId="11">
    <w:name w:val="Date"/>
    <w:basedOn w:val="1"/>
    <w:next w:val="1"/>
    <w:link w:val="26"/>
    <w:unhideWhenUsed/>
    <w:qFormat/>
    <w:uiPriority w:val="0"/>
    <w:pPr>
      <w:ind w:left="100" w:leftChars="2500"/>
    </w:pPr>
  </w:style>
  <w:style w:type="paragraph" w:styleId="12">
    <w:name w:val="Balloon Text"/>
    <w:basedOn w:val="1"/>
    <w:link w:val="30"/>
    <w:semiHidden/>
    <w:unhideWhenUsed/>
    <w:qFormat/>
    <w:uiPriority w:val="99"/>
    <w:rPr>
      <w:sz w:val="18"/>
      <w:szCs w:val="18"/>
    </w:rPr>
  </w:style>
  <w:style w:type="paragraph" w:styleId="13">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4">
    <w:name w:val="toc 1"/>
    <w:basedOn w:val="1"/>
    <w:next w:val="1"/>
    <w:semiHidden/>
    <w:unhideWhenUsed/>
    <w:qFormat/>
    <w:uiPriority w:val="39"/>
  </w:style>
  <w:style w:type="paragraph" w:styleId="15">
    <w:name w:val="List"/>
    <w:basedOn w:val="1"/>
    <w:qFormat/>
    <w:uiPriority w:val="0"/>
    <w:pPr>
      <w:ind w:left="200" w:hanging="200" w:hangingChars="200"/>
    </w:pPr>
    <w:rPr>
      <w:szCs w:val="21"/>
    </w:rPr>
  </w:style>
  <w:style w:type="paragraph" w:styleId="16">
    <w:name w:val="toc 2"/>
    <w:basedOn w:val="1"/>
    <w:next w:val="1"/>
    <w:semiHidden/>
    <w:unhideWhenUsed/>
    <w:qFormat/>
    <w:uiPriority w:val="39"/>
    <w:pPr>
      <w:ind w:left="420" w:leftChars="200"/>
    </w:pPr>
  </w:style>
  <w:style w:type="paragraph" w:styleId="17">
    <w:name w:val="annotation subject"/>
    <w:basedOn w:val="6"/>
    <w:next w:val="6"/>
    <w:link w:val="32"/>
    <w:semiHidden/>
    <w:unhideWhenUsed/>
    <w:qFormat/>
    <w:uiPriority w:val="99"/>
    <w:rPr>
      <w:b/>
      <w:bCs/>
    </w:rPr>
  </w:style>
  <w:style w:type="table" w:styleId="19">
    <w:name w:val="Table Grid"/>
    <w:basedOn w:val="18"/>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1">
    <w:name w:val="Hyperlink"/>
    <w:basedOn w:val="20"/>
    <w:unhideWhenUsed/>
    <w:qFormat/>
    <w:uiPriority w:val="99"/>
    <w:rPr>
      <w:color w:val="0563C1" w:themeColor="hyperlink"/>
      <w:u w:val="single"/>
      <w14:textFill>
        <w14:solidFill>
          <w14:schemeClr w14:val="hlink"/>
        </w14:solidFill>
      </w14:textFill>
    </w:rPr>
  </w:style>
  <w:style w:type="character" w:styleId="22">
    <w:name w:val="annotation reference"/>
    <w:basedOn w:val="20"/>
    <w:semiHidden/>
    <w:unhideWhenUsed/>
    <w:qFormat/>
    <w:uiPriority w:val="99"/>
    <w:rPr>
      <w:sz w:val="21"/>
      <w:szCs w:val="21"/>
    </w:rPr>
  </w:style>
  <w:style w:type="character" w:customStyle="1" w:styleId="23">
    <w:name w:val="页眉 字符"/>
    <w:basedOn w:val="20"/>
    <w:link w:val="13"/>
    <w:qFormat/>
    <w:uiPriority w:val="99"/>
    <w:rPr>
      <w:sz w:val="18"/>
      <w:szCs w:val="18"/>
    </w:rPr>
  </w:style>
  <w:style w:type="character" w:customStyle="1" w:styleId="24">
    <w:name w:val="页脚 字符"/>
    <w:basedOn w:val="20"/>
    <w:link w:val="2"/>
    <w:qFormat/>
    <w:uiPriority w:val="99"/>
    <w:rPr>
      <w:sz w:val="18"/>
      <w:szCs w:val="18"/>
    </w:rPr>
  </w:style>
  <w:style w:type="character" w:customStyle="1" w:styleId="25">
    <w:name w:val="纯文本 字符"/>
    <w:basedOn w:val="20"/>
    <w:link w:val="10"/>
    <w:qFormat/>
    <w:uiPriority w:val="0"/>
    <w:rPr>
      <w:rFonts w:ascii="宋体" w:hAnsi="Courier New" w:eastAsia="宋体"/>
    </w:rPr>
  </w:style>
  <w:style w:type="character" w:customStyle="1" w:styleId="26">
    <w:name w:val="日期 字符"/>
    <w:basedOn w:val="20"/>
    <w:link w:val="11"/>
    <w:qFormat/>
    <w:uiPriority w:val="99"/>
    <w:rPr>
      <w:rFonts w:ascii="Times New Roman" w:hAnsi="Times New Roman" w:eastAsia="宋体" w:cs="Times New Roman"/>
      <w:szCs w:val="20"/>
    </w:rPr>
  </w:style>
  <w:style w:type="character" w:customStyle="1" w:styleId="27">
    <w:name w:val="正文文本 字符"/>
    <w:basedOn w:val="20"/>
    <w:link w:val="7"/>
    <w:qFormat/>
    <w:uiPriority w:val="0"/>
    <w:rPr>
      <w:rFonts w:ascii="仿宋_GB2312" w:hAnsi="Times New Roman" w:eastAsia="仿宋_GB2312" w:cs="Times New Roman"/>
      <w:sz w:val="32"/>
      <w:szCs w:val="20"/>
    </w:rPr>
  </w:style>
  <w:style w:type="character" w:customStyle="1" w:styleId="28">
    <w:name w:val="正文文本缩进 字符"/>
    <w:basedOn w:val="20"/>
    <w:link w:val="8"/>
    <w:qFormat/>
    <w:uiPriority w:val="0"/>
    <w:rPr>
      <w:rFonts w:ascii="Times New Roman" w:hAnsi="Times New Roman" w:eastAsia="宋体" w:cs="Times New Roman"/>
      <w:szCs w:val="20"/>
    </w:rPr>
  </w:style>
  <w:style w:type="character" w:customStyle="1" w:styleId="29">
    <w:name w:val="未处理的提及1"/>
    <w:basedOn w:val="20"/>
    <w:semiHidden/>
    <w:unhideWhenUsed/>
    <w:qFormat/>
    <w:uiPriority w:val="99"/>
    <w:rPr>
      <w:color w:val="605E5C"/>
      <w:shd w:val="clear" w:color="auto" w:fill="E1DFDD"/>
    </w:rPr>
  </w:style>
  <w:style w:type="character" w:customStyle="1" w:styleId="30">
    <w:name w:val="批注框文本 字符"/>
    <w:basedOn w:val="20"/>
    <w:link w:val="12"/>
    <w:semiHidden/>
    <w:qFormat/>
    <w:uiPriority w:val="99"/>
    <w:rPr>
      <w:rFonts w:ascii="Times New Roman" w:hAnsi="Times New Roman" w:eastAsia="宋体" w:cs="Times New Roman"/>
      <w:sz w:val="18"/>
      <w:szCs w:val="18"/>
    </w:rPr>
  </w:style>
  <w:style w:type="character" w:customStyle="1" w:styleId="31">
    <w:name w:val="批注文字 字符"/>
    <w:basedOn w:val="20"/>
    <w:link w:val="6"/>
    <w:semiHidden/>
    <w:qFormat/>
    <w:uiPriority w:val="99"/>
    <w:rPr>
      <w:rFonts w:ascii="Times New Roman" w:hAnsi="Times New Roman" w:eastAsia="宋体" w:cs="Times New Roman"/>
      <w:szCs w:val="20"/>
    </w:rPr>
  </w:style>
  <w:style w:type="character" w:customStyle="1" w:styleId="32">
    <w:name w:val="批注主题 字符"/>
    <w:basedOn w:val="31"/>
    <w:link w:val="17"/>
    <w:semiHidden/>
    <w:qFormat/>
    <w:uiPriority w:val="99"/>
    <w:rPr>
      <w:rFonts w:ascii="Times New Roman" w:hAnsi="Times New Roman" w:eastAsia="宋体" w:cs="Times New Roman"/>
      <w:b/>
      <w:bCs/>
      <w:szCs w:val="20"/>
    </w:rPr>
  </w:style>
  <w:style w:type="paragraph" w:customStyle="1" w:styleId="33">
    <w:name w:val="修订1"/>
    <w:hidden/>
    <w:semiHidden/>
    <w:qFormat/>
    <w:uiPriority w:val="99"/>
    <w:rPr>
      <w:rFonts w:ascii="Times New Roman" w:hAnsi="Times New Roman" w:eastAsia="宋体" w:cs="Times New Roman"/>
      <w:kern w:val="2"/>
      <w:sz w:val="21"/>
      <w:lang w:val="en-US" w:eastAsia="zh-CN" w:bidi="ar-SA"/>
    </w:rPr>
  </w:style>
  <w:style w:type="character" w:customStyle="1" w:styleId="34">
    <w:name w:val="未处理的提及2"/>
    <w:basedOn w:val="20"/>
    <w:semiHidden/>
    <w:unhideWhenUsed/>
    <w:qFormat/>
    <w:uiPriority w:val="99"/>
    <w:rPr>
      <w:color w:val="605E5C"/>
      <w:shd w:val="clear" w:color="auto" w:fill="E1DFDD"/>
    </w:rPr>
  </w:style>
  <w:style w:type="paragraph" w:customStyle="1" w:styleId="35">
    <w:name w:val="修订2"/>
    <w:hidden/>
    <w:semiHidden/>
    <w:qFormat/>
    <w:uiPriority w:val="99"/>
    <w:rPr>
      <w:rFonts w:ascii="Times New Roman" w:hAnsi="Times New Roman" w:eastAsia="宋体" w:cs="Times New Roman"/>
      <w:kern w:val="2"/>
      <w:sz w:val="21"/>
      <w:lang w:val="en-US" w:eastAsia="zh-CN" w:bidi="ar-SA"/>
    </w:rPr>
  </w:style>
  <w:style w:type="paragraph" w:customStyle="1" w:styleId="36">
    <w:name w:val="标三级标题"/>
    <w:basedOn w:val="37"/>
    <w:qFormat/>
    <w:uiPriority w:val="0"/>
  </w:style>
  <w:style w:type="paragraph" w:customStyle="1" w:styleId="37">
    <w:name w:val="标书三级标题"/>
    <w:basedOn w:val="4"/>
    <w:next w:val="38"/>
    <w:qFormat/>
    <w:uiPriority w:val="0"/>
    <w:pPr>
      <w:spacing w:before="0" w:after="0" w:line="240" w:lineRule="auto"/>
      <w:ind w:firstLine="482" w:firstLineChars="200"/>
    </w:pPr>
    <w:rPr>
      <w:rFonts w:asciiTheme="minorHAnsi" w:hAnsiTheme="minorHAnsi" w:eastAsiaTheme="minorEastAsia" w:cstheme="minorBidi"/>
      <w:color w:val="000000"/>
      <w:sz w:val="24"/>
      <w:szCs w:val="24"/>
      <w:lang w:val="en-US"/>
    </w:rPr>
  </w:style>
  <w:style w:type="paragraph" w:customStyle="1" w:styleId="38">
    <w:name w:val="标书正文格式"/>
    <w:basedOn w:val="10"/>
    <w:qFormat/>
    <w:uiPriority w:val="0"/>
    <w:pPr>
      <w:spacing w:line="360" w:lineRule="auto"/>
      <w:ind w:firstLine="200" w:firstLineChars="200"/>
    </w:pPr>
    <w:rPr>
      <w:rFonts w:hAnsi="宋体" w:eastAsiaTheme="minorEastAsia"/>
      <w:color w:val="000000"/>
      <w:sz w:val="24"/>
      <w:szCs w:val="24"/>
    </w:rPr>
  </w:style>
  <w:style w:type="paragraph" w:customStyle="1" w:styleId="39">
    <w:name w:val="WPSOffice手动目录 1"/>
    <w:qFormat/>
    <w:uiPriority w:val="0"/>
    <w:rPr>
      <w:rFonts w:ascii="Times New Roman" w:hAnsi="Times New Roman" w:eastAsia="宋体" w:cs="Times New Roman"/>
      <w:lang w:val="en-US" w:eastAsia="zh-CN" w:bidi="ar-SA"/>
    </w:rPr>
  </w:style>
  <w:style w:type="paragraph" w:styleId="40">
    <w:name w:val="List Paragraph"/>
    <w:basedOn w:val="1"/>
    <w:qFormat/>
    <w:uiPriority w:val="99"/>
    <w:pPr>
      <w:ind w:firstLine="420" w:firstLineChars="200"/>
    </w:pPr>
  </w:style>
  <w:style w:type="paragraph" w:customStyle="1" w:styleId="41">
    <w:name w:val="WPSOffice手动目录 3"/>
    <w:qFormat/>
    <w:uiPriority w:val="0"/>
    <w:pPr>
      <w:ind w:left="400" w:leftChars="400"/>
    </w:pPr>
    <w:rPr>
      <w:rFonts w:ascii="Times New Roman" w:hAnsi="Times New Roman" w:eastAsia="宋体" w:cs="Times New Roman"/>
      <w:lang w:val="en-US" w:eastAsia="zh-CN" w:bidi="ar-SA"/>
    </w:rPr>
  </w:style>
  <w:style w:type="paragraph" w:customStyle="1" w:styleId="42">
    <w:name w:val="WPSOffice手动目录 2"/>
    <w:qFormat/>
    <w:uiPriority w:val="0"/>
    <w:pPr>
      <w:ind w:left="200" w:leftChars="200"/>
    </w:pPr>
    <w:rPr>
      <w:rFonts w:ascii="Times New Roman" w:hAnsi="Times New Roman" w:eastAsia="宋体" w:cs="Times New Roman"/>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image" Target="media/image3.png"/><Relationship Id="rId8" Type="http://schemas.openxmlformats.org/officeDocument/2006/relationships/image" Target="media/image2.png"/><Relationship Id="rId7" Type="http://schemas.openxmlformats.org/officeDocument/2006/relationships/image" Target="media/image1.png"/><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1" Type="http://schemas.openxmlformats.org/officeDocument/2006/relationships/fontTable" Target="fontTable.xml"/><Relationship Id="rId20" Type="http://schemas.openxmlformats.org/officeDocument/2006/relationships/numbering" Target="numbering.xml"/><Relationship Id="rId2" Type="http://schemas.openxmlformats.org/officeDocument/2006/relationships/settings" Target="settings.xml"/><Relationship Id="rId19" Type="http://schemas.openxmlformats.org/officeDocument/2006/relationships/customXml" Target="../customXml/item1.xml"/><Relationship Id="rId18" Type="http://schemas.openxmlformats.org/officeDocument/2006/relationships/image" Target="media/image12.png"/><Relationship Id="rId17" Type="http://schemas.openxmlformats.org/officeDocument/2006/relationships/image" Target="media/image11.png"/><Relationship Id="rId16" Type="http://schemas.openxmlformats.org/officeDocument/2006/relationships/image" Target="media/image10.png"/><Relationship Id="rId15" Type="http://schemas.openxmlformats.org/officeDocument/2006/relationships/image" Target="media/image9.png"/><Relationship Id="rId14" Type="http://schemas.openxmlformats.org/officeDocument/2006/relationships/image" Target="media/image8.png"/><Relationship Id="rId13" Type="http://schemas.openxmlformats.org/officeDocument/2006/relationships/image" Target="media/image7.png"/><Relationship Id="rId12" Type="http://schemas.openxmlformats.org/officeDocument/2006/relationships/image" Target="media/image6.png"/><Relationship Id="rId11" Type="http://schemas.openxmlformats.org/officeDocument/2006/relationships/image" Target="media/image5.png"/><Relationship Id="rId10" Type="http://schemas.openxmlformats.org/officeDocument/2006/relationships/image" Target="media/image4.pn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31</Pages>
  <Words>2416</Words>
  <Characters>13774</Characters>
  <Lines>114</Lines>
  <Paragraphs>32</Paragraphs>
  <TotalTime>32</TotalTime>
  <ScaleCrop>false</ScaleCrop>
  <LinksUpToDate>false</LinksUpToDate>
  <CharactersWithSpaces>16158</CharactersWithSpaces>
  <Application>WPS Office_12.1.0.17827_F1E327BC-269C-435d-A152-05C5408002CA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2023-04-11T10:39:00Z</dcterms:created>
  <dc:creator>李保龙</dc:creator>
  <cp:lastModifiedBy>admin</cp:lastModifiedBy>
  <cp:lastPrinted>2023-10-25T07:55:00Z</cp:lastPrinted>
  <dcterms:modified xsi:type="dcterms:W3CDTF">2024-09-10T01:02:36Z</dcterms:modified>
  <cp:revision>14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2052-12.1.0.17827</vt:lpwstr>
  </property>
  <property fmtid="{D5CDD505-2E9C-101B-9397-08002B2CF9AE}" pid="3" name="ICV">
    <vt:lpwstr>F1BC29C673434714BFF94BF912574054</vt:lpwstr>
  </property>
</Properties>
</file>